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Destinatar"/>
      </w:pPr>
      <w:r>
        <w:t xml:space="preserve">Către:</w:t>
      </w:r>
    </w:p>
    <w:p>
      <w:pPr>
        <w:pStyle w:val="Destinatar"/>
      </w:pPr>
      <w:r>
        <w:t xml:space="preserve">MINISTERUL MUNCII, FAMILIEI, TINERETULUI ȘI SOLIDARITĂȚII SOCIALE</w:t>
      </w:r>
    </w:p>
    <w:p>
      <w:pPr>
        <w:pStyle w:val="Destinatar"/>
      </w:pPr>
      <w:r>
        <w:t xml:space="preserve">MINISTERUL FINANȚELOR</w:t>
      </w:r>
    </w:p>
    <w:p>
      <w:pPr>
        <w:pStyle w:val="Titluact"/>
      </w:pPr>
      <w:r>
        <w:t xml:space="preserve">PLÂNGERE PREALABILĂ</w:t>
      </w:r>
    </w:p>
    <w:p>
      <w:pPr>
        <w:pStyle w:val="BodyText"/>
      </w:pPr>
      <w:r>
        <w:t xml:space="preserve">Subsemnatul/Subsemnata</w:t>
      </w:r>
      <w:r>
        <w:t xml:space="preserve"> </w:t>
      </w:r>
      <w:r>
        <w:rPr>
          <w:b/>
          <w:bCs/>
        </w:rPr>
        <w:t xml:space="preserve">[NUME PRENUME]</w:t>
      </w:r>
      <w:r>
        <w:t xml:space="preserve">, domiciliat(ă) în [localitatea, strada, nr., bl., ap., județul], e-mail [adresa de e-mail], telefon [telefon], beneficiar(ă) al(a) unei pensii de serviciu anticipate parțiale stabilite de Casa de Pensii Sectorială a Ministerului Afacerilor Interne prin decizia nr. [nr.] din [data],</w:t>
      </w:r>
    </w:p>
    <w:p>
      <w:pPr>
        <w:pStyle w:val="BodyText"/>
      </w:pPr>
      <w:r>
        <w:t xml:space="preserve">în temeiul art. 7 alin. (1) și alin. (1</w:t>
      </w:r>
      <w:r>
        <w:rPr>
          <w:vertAlign w:val="superscript"/>
        </w:rPr>
        <w:t xml:space="preserve">1</w:t>
      </w:r>
      <w:r>
        <w:t xml:space="preserve">) din Legea contenciosului administrativ nr. 554/2004, formulez plângere prealabilă împotriva Ordinului ministrului muncii, familiei, tineretului și solidarității sociale și al viceprim-ministrului, ministrului finanțelor nr. 427/612/2025 privind modificarea și completarea Ordinului ministrului muncii, familiei, protecției sociale și persoanelor vârstnice și al ministrului finanțelor publice nr. 2.073/1.623/2014, publicat în Monitorul Oficial al României, Partea I, nr. 428 din 9 mai 2025, și vă solicit:</w:t>
      </w:r>
    </w:p>
    <w:p>
      <w:pPr>
        <w:pStyle w:val="BodyText"/>
      </w:pPr>
      <w:r>
        <w:t xml:space="preserve">1. revocarea art. I pct. 13 din Ordinul nr. 427/612/2025, în partea prin care la art. 13 din Normele metodologice de aplicare a prevederilor Legii nr. 125/2014 au fost introduse literele n) și o);</w:t>
      </w:r>
    </w:p>
    <w:p>
      <w:pPr>
        <w:pStyle w:val="BodyText"/>
      </w:pPr>
      <w:r>
        <w:t xml:space="preserve">2. abrogarea, prin ordin comun publicat în Monitorul Oficial al României, Partea I, a art. 13 lit. n) și lit. o) din Normele metodologice de aplicare a prevederilor Legii nr. 125/2014 privind scutirea de la plată a unor debite provenite din pensii și pentru stabilirea unor măsuri de protecție socială, aprobate prin Ordinul nr. 2.073/1.623/2014, cu modificările ulterioare.</w:t>
      </w:r>
    </w:p>
    <w:bookmarkStart w:id="18" w:name="i.-textele-contestate"/>
    <w:p>
      <w:pPr>
        <w:pStyle w:val="Heading2"/>
      </w:pPr>
      <w:r>
        <w:t xml:space="preserve">I. TEXTELE CONTESTATE</w:t>
      </w:r>
    </w:p>
    <w:p>
      <w:pPr>
        <w:pStyle w:val="FirstParagraph"/>
      </w:pPr>
      <w:r>
        <w:t xml:space="preserve">Art. 13 din Normele metodologice enumeră debitele care nu beneficiază de scutirea de la plată prevăzută de art. 1 din Legea nr. 125/2014, pentru că „au drept cauză culpa” pensionarilor. Prin art. I pct. 13 din Ordinul nr. 427/612/2025, în această enumerare au fost introduse, între altele, următoarele ipoteze:</w:t>
      </w:r>
    </w:p>
    <w:p>
      <w:pPr>
        <w:pStyle w:val="BodyText"/>
      </w:pPr>
      <w:r>
        <w:t xml:space="preserve">„n) obținerea/încasarea unei pensii în baza unui stagiu de cotizare care a fost ulterior rectificat de către angajator;</w:t>
      </w:r>
    </w:p>
    <w:p>
      <w:pPr>
        <w:pStyle w:val="BodyText"/>
      </w:pPr>
      <w:r>
        <w:t xml:space="preserve">o) încasarea cu titlu de pensie sau pensie restantă a unor sume necuvenite, în raport cu drepturile stabilite prin decizia de pensionare.”</w:t>
      </w:r>
    </w:p>
    <w:bookmarkEnd w:id="18"/>
    <w:bookmarkStart w:id="19" w:name="ii.-motivele-de-nelegalitate"/>
    <w:p>
      <w:pPr>
        <w:pStyle w:val="Heading2"/>
      </w:pPr>
      <w:r>
        <w:t xml:space="preserve">II. MOTIVELE DE NELEGALITATE</w:t>
      </w:r>
    </w:p>
    <w:p>
      <w:pPr>
        <w:pStyle w:val="FirstParagraph"/>
      </w:pPr>
      <w:r>
        <w:rPr>
          <w:b/>
          <w:bCs/>
        </w:rPr>
        <w:t xml:space="preserve">1. Legea permite excluderea de la scutire numai a debitelor cauzate de culpa debitorului.</w:t>
      </w:r>
      <w:r>
        <w:t xml:space="preserve"> </w:t>
      </w:r>
      <w:r>
        <w:t xml:space="preserve">Art. 1 din Legea nr. 125/2014, în forma dată prin Legea nr. 285/2024, instituie regula: debitele reprezentând sume încasate necuvenit cu titlu de pensie „nu se recuperează”. Singura excepție este cea din art. 2: „Debitele care au drept cauză culpa debitorului, cum ar fi folosirea de către acesta a unor documente eliberate cu nerespectarea legii, declararea de către acesta a unor date neconforme realității, care au avut drept urmare stabilirea eronată a pensiei, nerespectarea obligațiilor care revin, potrivit legii, pensionarilor, inclusiv cele referitoare la cumulul pensiei cu venituri salariale […] nu fac obiectul scutirii de la plată”.</w:t>
      </w:r>
    </w:p>
    <w:p>
      <w:pPr>
        <w:pStyle w:val="BodyText"/>
      </w:pPr>
      <w:r>
        <w:t xml:space="preserve">Enumerarea din art. 2 este exemplificativă, dar criteriul legal este unul singur: culpa debitorului. Toate exemplele date de legiuitor sunt fapte proprii ale pensionarului, săvârșite „de către acesta”. Normele metodologice puteau detalia ipotezele de culpă a pensionarului, dar nu puteau crea altele.</w:t>
      </w:r>
    </w:p>
    <w:p>
      <w:pPr>
        <w:pStyle w:val="BodyText"/>
      </w:pPr>
      <w:r>
        <w:rPr>
          <w:b/>
          <w:bCs/>
        </w:rPr>
        <w:t xml:space="preserve">2. Lit. n) transformă fapta angajatorului în culpă a pensionarului.</w:t>
      </w:r>
      <w:r>
        <w:t xml:space="preserve"> </w:t>
      </w:r>
      <w:r>
        <w:t xml:space="preserve">Rectificarea ulterioară a stagiului de cotizare este un act al angajatorului. Textul nu cere ca pensionarul să fi depus un document nelegal sau să fi declarat date neconforme realității. Este suficient ca angajatorul să revină asupra stagiului pentru ca debitul să fie trecut în sarcina pensionarului, deși acesta nu a contribuit cu nimic la eroare.</w:t>
      </w:r>
    </w:p>
    <w:p>
      <w:pPr>
        <w:pStyle w:val="BodyText"/>
      </w:pPr>
      <w:r>
        <w:t xml:space="preserve">Situațiile în care pensionarul răspunde pentru documentele privind stagiul erau deja reglementate de art. 13 lit. a) și b) din Normele metodologice: depunerea unor documente eliberate cu nerespectarea legii, ulterior infirmate de angajator, și depunerea unor carnete de muncă sau adeverințe cu date neconforme realității. Lit. n) depășește aceste ipoteze tocmai prin aceea că renunță la orice faptă a pensionarului.</w:t>
      </w:r>
    </w:p>
    <w:p>
      <w:pPr>
        <w:pStyle w:val="BodyText"/>
      </w:pPr>
      <w:r>
        <w:rPr>
          <w:b/>
          <w:bCs/>
        </w:rPr>
        <w:t xml:space="preserve">3. Lit. o) golește de conținut art. 1 din lege.</w:t>
      </w:r>
      <w:r>
        <w:t xml:space="preserve"> </w:t>
      </w:r>
      <w:r>
        <w:t xml:space="preserve">Orice debit din pensie constă, prin definiție, în încasarea unor sume necuvenite în raport cu drepturile stabilite prin decizia de pensionare. Calificând această împrejurare, în sine, drept culpă a pensionarului, lit. o) exclude de la scutire și debitele produse exclusiv prin eroarea casei de pensii, cum ar fi plata unei sume mai mari decât cea din decizie. Rezultatul este contrar art. 1 din lege, care stabilește ca regulă nerecuperarea, și art. 2, care admite recuperarea doar pentru culpa debitorului.</w:t>
      </w:r>
    </w:p>
    <w:p>
      <w:pPr>
        <w:pStyle w:val="BodyText"/>
      </w:pPr>
      <w:r>
        <w:rPr>
          <w:b/>
          <w:bCs/>
        </w:rPr>
        <w:t xml:space="preserve">4. Ordinul încalcă limitele actului pe care îl pune în executare.</w:t>
      </w:r>
      <w:r>
        <w:t xml:space="preserve"> </w:t>
      </w:r>
      <w:r>
        <w:t xml:space="preserve">Potrivit art. 4 alin. (3) din Legea nr. 24/2000 privind normele de tehnică legislativă pentru elaborarea actelor normative, actele normative date în executarea legilor „se emit în limitele și potrivit normelor care le ordonă”, iar potrivit art. 78 din aceeași lege, ordinele „trebuie să se limiteze strict la cadrul stabilit de actele pe baza și în executarea cărora au fost emise și nu pot conține soluții care să contravină prevederilor acestora”. Ordinul nr. 427/612/2025 a fost emis în executarea art. II alin. (2) din Legea nr. 285/2024, care cerea modificarea „în mod corespunzător” a Ordinului nr. 2.073/1.623/2014, adică punerea lui de acord cu legea, nu restrângerea scutirii acordate de lege.</w:t>
      </w:r>
    </w:p>
    <w:p>
      <w:pPr>
        <w:pStyle w:val="BodyText"/>
      </w:pPr>
      <w:r>
        <w:t xml:space="preserve">Prin lit. n) și o), un act administrativ normativ restrânge un beneficiu acordat prin lege și adaugă la lege o excepție pe care legiuitorul nu a prevăzut-o.</w:t>
      </w:r>
    </w:p>
    <w:p>
      <w:pPr>
        <w:pStyle w:val="BodyText"/>
      </w:pPr>
      <w:r>
        <w:rPr>
          <w:b/>
          <w:bCs/>
        </w:rPr>
        <w:t xml:space="preserve">5. Ordinul a fost emis cu încălcarea procedurii de transparență decizională.</w:t>
      </w:r>
      <w:r>
        <w:t xml:space="preserve"> </w:t>
      </w:r>
      <w:r>
        <w:t xml:space="preserve">Potrivit art. 7 alin. (2) din Legea nr. 52/2003 privind transparența decizională în administrația publică, anunțul referitor la elaborarea unui proiect de act normativ se aduce la cunoștința publicului „cu cel puțin 30 de zile lucrătoare înainte de supunerea spre avizare de către autoritățile publice”, iar potrivit alin. (8) al aceluiași articol, proiectul „se transmite spre analiză și avizare autorităților publice interesate numai după definitivare, pe baza observațiilor și propunerilor formulate”.</w:t>
      </w:r>
    </w:p>
    <w:p>
      <w:pPr>
        <w:pStyle w:val="BodyText"/>
      </w:pPr>
      <w:r>
        <w:t xml:space="preserve">Ordinul a fost semnat de ministrul muncii, familiei, tineretului și solidarității sociale la 31.03.2025, sub nr. 427, și de viceprim-ministrul, ministrul finanțelor, la 14.04.2025, sub nr. 612. Proiectul a fost publicat pentru consultare pe pagina de internet a Ministerului Muncii, Familiei, Tineretului și Solidarității Sociale abia la 16.04.2025, cu termen de transmitere a propunerilor până la 25.04.2025, după ce ambii miniștri semnaseră deja ordinul. Textul publicat conținea deja lit. n) și o) în forma adoptată. Ordinul a apărut în Monitorul Oficial la 9 mai 2025, la 23 de zile de la anunț. Referatul de aprobare publicat odată cu proiectul nu invocă vreo situație de urgență în sensul art. 7 alin. (13) din Legea nr. 52/2003.</w:t>
      </w:r>
    </w:p>
    <w:p>
      <w:pPr>
        <w:pStyle w:val="BodyText"/>
      </w:pPr>
      <w:r>
        <w:t xml:space="preserve">Consultarea a fost așadar una formală: propunerile nu mai puteau schimba un act deja semnat. Lipsa reală a consultării explică de ce lit. n) și o), care nu au nicio motivare în referatul de aprobare, au ajuns în forma finală fără să fi fost supuse vreunei dezbateri.</w:t>
      </w:r>
    </w:p>
    <w:bookmarkEnd w:id="19"/>
    <w:bookmarkStart w:id="20" w:name="iii.-vătămarea-drepturilor-mele"/>
    <w:p>
      <w:pPr>
        <w:pStyle w:val="Heading2"/>
      </w:pPr>
      <w:r>
        <w:t xml:space="preserve">III. VĂTĂMAREA DREPTURILOR MELE</w:t>
      </w:r>
    </w:p>
    <w:p>
      <w:pPr>
        <w:pStyle w:val="FirstParagraph"/>
      </w:pPr>
      <w:r>
        <w:t xml:space="preserve">La stabilirea pensiei mele de serviciu anticipate parțiale, Casa de Pensii Sectorială a Ministerului Afacerilor Interne a valorificat, la vechimea efectivă, stagiul de cotizare dobândit prin contractul de asigurare socială nr. [nr.] din [data], încheiat în temeiul Ordonanței de urgență a Guvernului nr. 163/2020. [Dacă este cazul: Casa a formulat împotriva mea acțiunea în anularea deciziei de pensie înregistrată sub nr. [dosar] / a emis decizia de revizuire nr. [nr.] din [data] / decizia de recuperare nr. [nr.] din [data].]</w:t>
      </w:r>
    </w:p>
    <w:p>
      <w:pPr>
        <w:pStyle w:val="BodyText"/>
      </w:pPr>
      <w:r>
        <w:t xml:space="preserve">În cazul în care s-ar constitui un debit în sarcina mea, art. 1 din Legea nr. 125/2014 și art. 7 lit. a) din Normele metodologice, care cuprinde expres pensiile de serviciu, îmi recunosc dreptul de a fi scutit de la plată, debitul neavând drept cauză vreo culpă a mea: contractul de asigurare a fost legal încheiat, contribuțiile au fost plătite integral, iar casa de pensii a analizat singură dosarul și a stabilit pensia. Art. 13 lit. n) și o) din Normele metodologice mi-ar putea refuza această scutire, calificând drept culpă proprie fapte care nu îmi aparțin. Am, așadar, un interes legitim, personal și actual, în eliminarea lor.</w:t>
      </w:r>
    </w:p>
    <w:p>
      <w:pPr>
        <w:pStyle w:val="BodyText"/>
      </w:pPr>
      <w:r>
        <w:t xml:space="preserve">Totodată, în calitate de persoană interesată, aveam dreptul să fiu informat și să transmit propuneri cu privire la proiect înainte de adoptarea lui (art. 2 lit. a)–c) și art. 7 din Legea nr. 52/2003), drept pe care nu l-am putut exercita, proiectul fiind publicat după semnarea ordinului.</w:t>
      </w:r>
    </w:p>
    <w:p>
      <w:pPr>
        <w:pStyle w:val="Blocfinal"/>
      </w:pPr>
      <w:r>
        <w:t xml:space="preserve">Vă rog să îmi comunicați răspunsul în termenul legal, la adresa de e-mail indicată mai sus.</w:t>
      </w:r>
    </w:p>
    <w:p>
      <w:pPr>
        <w:pStyle w:val="Semnatura"/>
      </w:pPr>
      <w:r>
        <w:t xml:space="preserve">[NUME PRENUME]</w:t>
      </w:r>
    </w:p>
    <w:bookmarkEnd w:id="20"/>
    <w:sectPr>
      <w:footerReference r:id="rId9" w:type="default"/>
      <w:pgSz w:h="16838" w:w="11906"/>
      <w:pgMar w:bottom="1134" w:left="1417"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2"/>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76" w:lineRule="auto"/>
      <w:ind w:firstLine="0"/>
      <w:jc w:val="both"/>
    </w:pPr>
    <w:rPr>
      <w:rFonts w:ascii="Times New Roman" w:cs="Times New Roman" w:eastAsia="Times New Roman" w:hAnsi="Times New Roman"/>
      <w:sz w:val="24"/>
    </w:rPr>
  </w:style>
  <w:style w:styleId="BodyText" w:type="paragraph">
    <w:name w:val="Body Text"/>
    <w:basedOn w:val="Normal"/>
    <w:link w:val="BodyTextChar"/>
    <w:pPr>
      <w:spacing w:after="160" w:before="0" w:line="276" w:lineRule="auto"/>
      <w:ind w:firstLine="0"/>
      <w:jc w:val="both"/>
    </w:pPr>
    <w:qFormat/>
    <w:rPr>
      <w:rFonts w:ascii="Times New Roman" w:cs="Times New Roman" w:eastAsia="Times New Roman" w:hAnsi="Times New Roman"/>
      <w:sz w:val="24"/>
    </w:rPr>
  </w:style>
  <w:style w:customStyle="1" w:styleId="FirstParagraph" w:type="paragraph">
    <w:name w:val="First Paragraph"/>
    <w:basedOn w:val="BodyText"/>
    <w:next w:val="BodyText"/>
    <w:qFormat/>
    <w:pPr>
      <w:spacing w:after="160" w:before="0" w:line="276" w:lineRule="auto"/>
      <w:ind w:firstLine="0"/>
      <w:jc w:val="both"/>
    </w:pPr>
    <w:rPr>
      <w:rFonts w:ascii="Times New Roman" w:cs="Times New Roman" w:eastAsia="Times New Roman" w:hAnsi="Times New Roman"/>
      <w:sz w:val="24"/>
    </w:rPr>
  </w:style>
  <w:style w:customStyle="1" w:styleId="Compact" w:type="paragraph">
    <w:name w:val="Compact"/>
    <w:basedOn w:val="BodyText"/>
    <w:qFormat/>
    <w:pPr>
      <w:spacing w:after="160" w:before="0" w:line="276" w:lineRule="auto"/>
      <w:ind w:firstLine="0"/>
      <w:jc w:val="both"/>
    </w:pPr>
    <w:rPr>
      <w:rFonts w:ascii="Times New Roman" w:cs="Times New Roman" w:eastAsia="Times New Roman" w:hAnsi="Times New Roman"/>
      <w:sz w:val="24"/>
    </w:rPr>
  </w:style>
  <w:style w:styleId="Title" w:type="paragraph">
    <w:name w:val="Title"/>
    <w:basedOn w:val="Normal"/>
    <w:next w:val="BodyText"/>
    <w:qFormat/>
    <w:pPr>
      <w:keepNext/>
      <w:keepLines/>
      <w:spacing w:after="160" w:before="240"/>
      <w:jc w:val="center"/>
    </w:pPr>
    <w:rPr>
      <w:rFonts w:ascii="Times New Roman" w:asciiTheme="majorHAnsi" w:cs="Times New Roman" w:cstheme="majorBidi" w:eastAsia="Times New Roman" w:eastAsiaTheme="majorEastAsia" w:hAnsi="Times New Roman" w:hAnsiTheme="majorHAnsi"/>
      <w:b/>
      <w:bCs/>
      <w:i w:val="0"/>
      <w:color w:val="000000"/>
      <w:sz w:val="28"/>
      <w:szCs w:val="36"/>
    </w:rPr>
  </w:style>
  <w:style w:styleId="Subtitle" w:type="paragraph">
    <w:name w:val="Subtitle"/>
    <w:basedOn w:val="Title"/>
    <w:next w:val="BodyText"/>
    <w:qFormat/>
    <w:pPr>
      <w:keepNext/>
      <w:keepLines/>
      <w:spacing w:after="240" w:before="240"/>
      <w:jc w:val="center"/>
    </w:pPr>
    <w:rPr>
      <w:rFonts w:ascii="Times New Roman" w:cs="Times New Roman" w:eastAsia="Times New Roman" w:hAnsi="Times New Roman"/>
      <w:sz w:val="24"/>
      <w:szCs w:val="30"/>
    </w:rPr>
  </w:style>
  <w:style w:customStyle="1" w:styleId="Author" w:type="paragraph">
    <w:name w:val="Author"/>
    <w:next w:val="BodyText"/>
    <w:qFormat/>
    <w:pPr>
      <w:keepNext/>
      <w:keepLines/>
      <w:jc w:val="center"/>
    </w:pPr>
    <w:rPr>
      <w:rFonts w:ascii="Times New Roman" w:cs="Times New Roman" w:eastAsia="Times New Roman" w:hAnsi="Times New Roman"/>
      <w:sz w:val="24"/>
    </w:rPr>
  </w:style>
  <w:style w:styleId="Date" w:type="paragraph">
    <w:name w:val="Date"/>
    <w:next w:val="BodyText"/>
    <w:qFormat/>
    <w:pPr>
      <w:keepNext/>
      <w:keepLines/>
      <w:jc w:val="center"/>
    </w:pPr>
    <w:rPr>
      <w:rFonts w:ascii="Times New Roman" w:cs="Times New Roman" w:eastAsia="Times New Roman" w:hAnsi="Times New Roman"/>
      <w:sz w:val="24"/>
    </w:rPr>
  </w:style>
  <w:style w:customStyle="1" w:styleId="AbstractTitle" w:type="paragraph">
    <w:name w:val="Abstract Title"/>
    <w:basedOn w:val="Normal"/>
    <w:next w:val="Abstract"/>
    <w:qFormat/>
    <w:pPr>
      <w:keepNext/>
      <w:keepLines/>
      <w:jc w:val="center"/>
      <w:spacing w:after="0" w:before="300"/>
    </w:pPr>
    <w:rPr>
      <w:sz w:val="24"/>
      <w:szCs w:val="20"/>
      <w:rFonts w:ascii="Times New Roman" w:cs="Times New Roman" w:eastAsia="Times New Roman" w:hAnsi="Times New Roman"/>
      <w:b/>
      <w:color w:val="345A8A"/>
      &gt;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sz w:val="24"/>
      <w:szCs w:val="20"/>
    </w:rPr>
  </w:style>
  <w:style w:styleId="Bibliography" w:type="paragraph">
    <w:name w:val="Bibliography"/>
    <w:basedOn w:val="Normal"/>
    <w:next w:val="Bibliography"/>
    <w:qFormat/>
    <w:pPr/>
    <w:rPr>
      <w:rFonts w:ascii="Times New Roman" w:cs="Times New Roman" w:eastAsia="Times New Roman" w:hAnsi="Times New Roman"/>
      <w:sz w:val="24"/>
    </w:rPr>
  </w:style>
  <w:style w:styleId="Heading1" w:type="paragraph">
    <w:name w:val="Heading 1"/>
    <w:basedOn w:val="Normal"/>
    <w:next w:val="BodyText"/>
    <w:uiPriority w:val="9"/>
    <w:qFormat/>
    <w:pPr>
      <w:keepNext/>
      <w:keepLines/>
      <w:spacing w:after="0" w:before="480"/>
      <w:outlineLvl w:val="0"/>
    </w:pPr>
    <w:rPr>
      <w:rFonts w:ascii="Times New Roman" w:cs="Times New Roman" w:eastAsia="Times New Roman" w:hAnsi="Times New Roman"/>
      <w:b/>
      <w:bCs/>
      <w:color w:val="000000"/>
      <w:sz w:val="24"/>
      <w:szCs w:val="32"/>
    </w:rPr>
  </w:style>
  <w:style w:styleId="Heading2" w:type="paragraph">
    <w:name w:val="Heading 2"/>
    <w:basedOn w:val="Normal"/>
    <w:next w:val="BodyText"/>
    <w:uiPriority w:val="9"/>
    <w:unhideWhenUsed/>
    <w:qFormat/>
    <w:pPr>
      <w:keepNext/>
      <w:keepLines/>
      <w:spacing w:after="0" w:before="200"/>
      <w:outlineLvl w:val="1"/>
    </w:pPr>
    <w:rPr>
      <w:rFonts w:ascii="Times New Roman" w:cs="Times New Roman" w:eastAsia="Times New Roman" w:hAnsi="Times New Roman"/>
      <w:b/>
      <w:bCs/>
      <w:color w:val="000000"/>
      <w:sz w:val="24"/>
      <w:szCs w:val="28"/>
    </w:rPr>
  </w:style>
  <w:style w:styleId="Heading3" w:type="paragraph">
    <w:name w:val="Heading 3"/>
    <w:basedOn w:val="Normal"/>
    <w:next w:val="BodyText"/>
    <w:uiPriority w:val="9"/>
    <w:unhideWhenUsed/>
    <w:qFormat/>
    <w:pPr>
      <w:keepNext/>
      <w:keepLines/>
      <w:spacing w:after="0" w:before="200"/>
      <w:outlineLvl w:val="2"/>
    </w:pPr>
    <w:rPr>
      <w:rFonts w:ascii="Times New Roman" w:cs="Times New Roman" w:eastAsia="Times New Roman" w:hAnsi="Times New Roman"/>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imes New Roman" w:cs="Times New Roman" w:eastAsia="Times New Roman" w:hAnsi="Times New Roman"/>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100" w:before="100"/>
      <w:ind w:firstLine="0" w:left="480" w:right="480"/>
    </w:pPr>
    <w:rPr>
      <w:rFonts w:ascii="Times New Roman" w:cs="Times New Roman" w:eastAsia="Times New Roman" w:hAnsi="Times New Roman"/>
      <w:sz w:val="24"/>
    </w:rPr>
  </w:style>
  <w:style w:styleId="FootnoteText" w:type="paragraph">
    <w:name w:val="Footnote Text"/>
    <w:basedOn w:val="Normal"/>
    <w:next w:val="FootnoteText"/>
    <w:uiPriority w:val="9"/>
    <w:unhideWhenUsed/>
    <w:qFormat/>
    <w:rPr>
      <w:rFonts w:ascii="Times New Roman" w:cs="Times New Roman" w:eastAsia="Times New Roman" w:hAnsi="Times New Roman"/>
      <w:sz w:val="24"/>
    </w:rPr>
  </w:style>
  <w:style w:default="1" w:styleId="DefaultParagraphFont" w:type="character">
    <w:name w:val="Default Paragraph Font"/>
    <w:semiHidden/>
    <w:unhideWhenUsed/>
    <w:rPr>
      <w:rFonts w:ascii="Times New Roman" w:cs="Times New Roman" w:eastAsia="Times New Roman" w:hAnsi="Times New Roman"/>
      <w:sz w:val="24"/>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sz w:val="24"/>
    </w:rPr>
  </w:style>
  <w:style w:customStyle="1" w:styleId="Definition" w:type="paragraph">
    <w:name w:val="Definition"/>
    <w:basedOn w:val="Normal"/>
    <w:rPr>
      <w:rFonts w:ascii="Times New Roman" w:cs="Times New Roman" w:eastAsia="Times New Roman" w:hAnsi="Times New Roman"/>
      <w:sz w:val="24"/>
    </w:rPr>
  </w:style>
  <w:style w:styleId="Caption" w:type="paragraph">
    <w:name w:val="Caption"/>
    <w:basedOn w:val="Normal"/>
    <w:link w:val="BodyTextChar"/>
    <w:pPr>
      <w:spacing w:after="120" w:before="0"/>
    </w:pPr>
    <w:rPr>
      <w:rFonts w:ascii="Times New Roman" w:cs="Times New Roman" w:eastAsia="Times New Roman" w:hAnsi="Times New Roman"/>
      <w:i/>
      <w:sz w:val="24"/>
    </w:rPr>
  </w:style>
  <w:style w:customStyle="1" w:styleId="TableCaption" w:type="paragraph">
    <w:name w:val="Table Caption"/>
    <w:basedOn w:val="Caption"/>
    <w:pPr>
      <w:keepNext/>
    </w:pPr>
    <w:rPr>
      <w:rFonts w:ascii="Times New Roman" w:cs="Times New Roman" w:eastAsia="Times New Roman" w:hAnsi="Times New Roman"/>
      <w:sz w:val="24"/>
    </w:rPr>
  </w:style>
  <w:style w:customStyle="1" w:styleId="ImageCaption" w:type="paragraph">
    <w:name w:val="Image Caption"/>
    <w:basedOn w:val="Caption"/>
    <w:rPr>
      <w:rFonts w:ascii="Times New Roman" w:cs="Times New Roman" w:eastAsia="Times New Roman" w:hAnsi="Times New Roman"/>
      <w:sz w:val="24"/>
    </w:rPr>
  </w:style>
  <w:style w:customStyle="1" w:styleId="Figure" w:type="paragraph">
    <w:name w:val="Figure"/>
    <w:basedOn w:val="Normal"/>
    <w:rPr>
      <w:rFonts w:ascii="Times New Roman" w:cs="Times New Roman" w:eastAsia="Times New Roman" w:hAnsi="Times New Roman"/>
      <w:sz w:val="24"/>
    </w:rPr>
  </w:style>
  <w:style w:customStyle="1" w:styleId="CaptionedFigure" w:type="paragraph">
    <w:name w:val="Captioned Figure"/>
    <w:basedOn w:val="Figure"/>
    <w:pPr>
      <w:keepNext/>
    </w:pPr>
    <w:rPr>
      <w:rFonts w:ascii="Times New Roman" w:cs="Times New Roman" w:eastAsia="Times New Roman" w:hAnsi="Times New Roman"/>
      <w:sz w:val="24"/>
    </w:rPr>
  </w:style>
  <w:style w:customStyle="1" w:styleId="BodyTextChar" w:type="character">
    <w:name w:val="Body Text Char"/>
    <w:basedOn w:val="DefaultParagraphFont"/>
    <w:link w:val="BodyText"/>
    <w:rPr>
      <w:rFonts w:ascii="Times New Roman" w:cs="Times New Roman" w:eastAsia="Times New Roman" w:hAnsi="Times New Roman"/>
      <w:sz w:val="24"/>
    </w:rPr>
  </w:style>
  <w:style w:customStyle="1" w:styleId="VerbatimChar" w:type="character">
    <w:name w:val="Verbatim Char"/>
    <w:basedOn w:val="BodyTextChar"/>
    <w:rPr>
      <w:rFonts w:ascii="Times New Roman" w:cs="Times New Roman" w:eastAsia="Times New Roman" w:hAnsi="Times New Roman"/>
      <w:sz w:val="24"/>
    </w:rPr>
  </w:style>
  <w:style w:customStyle="1" w:styleId="SectionNumber" w:type="character">
    <w:name w:val="Section Number"/>
    <w:basedOn w:val="BodyTextChar"/>
    <w:rPr>
      <w:rFonts w:ascii="Times New Roman" w:cs="Times New Roman" w:eastAsia="Times New Roman" w:hAnsi="Times New Roman"/>
      <w:sz w:val="24"/>
    </w:rPr>
  </w:style>
  <w:style w:styleId="FootnoteReference" w:type="character">
    <w:name w:val="Footnote Reference"/>
    <w:basedOn w:val="BodyTextChar"/>
    <w:rPr>
      <w:rFonts w:ascii="Times New Roman" w:cs="Times New Roman" w:eastAsia="Times New Roman" w:hAnsi="Times New Roman"/>
      <w:sz w:val="24"/>
      <w:vertAlign w:val="superscript"/>
    </w:rPr>
  </w:style>
  <w:style w:styleId="Hyperlink" w:type="character">
    <w:name w:val="Hyperlink"/>
    <w:basedOn w:val="BodyTextChar"/>
    <w:rPr>
      <w:rFonts w:ascii="Times New Roman" w:cs="Times New Roman" w:eastAsia="Times New Roman" w:hAnsi="Times New Roman"/>
      <w:color w:themeColor="accent1" w:val="4F81BD"/>
      <w:sz w:val="24"/>
    </w:rPr>
  </w:style>
  <w:style w:styleId="TOCHeading" w:type="paragraph">
    <w:name w:val="TOC Heading"/>
    <w:basedOn w:val="Heading1"/>
    <w:next w:val="BodyText"/>
    <w:uiPriority w:val="39"/>
    <w:unhideWhenUsed/>
    <w:qFormat/>
    <w:pPr>
      <w:spacing w:before="240" w:line="259" w:lineRule="auto"/>
      <w:outlineLvl w:val="9"/>
    </w:pPr>
    <w:rPr>
      <w:rFonts w:ascii="Times New Roman" w:asciiTheme="majorHAnsi" w:cs="Times New Roman" w:cstheme="majorBidi" w:eastAsia="Times New Roman" w:eastAsiaTheme="majorEastAsia" w:hAnsi="Times New Roman" w:hAnsiTheme="majorHAnsi"/>
      <w:b w:val="0"/>
      <w:bCs w:val="0"/>
      <w:color w:themeColor="accent1" w:themeShade="BF" w:val="365F91"/>
      <w:sz w:val="24"/>
    </w:rPr>
  </w:style>
  <w:style w:customStyle="1" w:styleId="Titluact" w:type="paragraph">
    <w:name w:val="Titlu act"/>
    <w:basedOn w:val="Normal"/>
    <w:pPr>
      <w:keepNext/>
      <w:keepLines/>
      <w:spacing w:after="160"/>
      <w:ind w:firstLine="0"/>
      <w:jc w:val="center"/>
    </w:pPr>
    <w:rPr>
      <w:rFonts w:ascii="Times New Roman" w:cs="Times New Roman" w:eastAsia="Times New Roman" w:hAnsi="Times New Roman"/>
      <w:b/>
      <w:sz w:val="24"/>
    </w:rPr>
  </w:style>
  <w:style w:customStyle="1" w:styleId="Destinatar" w:type="paragraph">
    <w:name w:val="Destinatar"/>
    <w:basedOn w:val="Normal"/>
    <w:pPr>
      <w:spacing w:after="160"/>
      <w:ind w:firstLine="0"/>
      <w:jc w:val="left"/>
    </w:pPr>
    <w:rPr>
      <w:rFonts w:ascii="Times New Roman" w:cs="Times New Roman" w:eastAsia="Times New Roman" w:hAnsi="Times New Roman"/>
      <w:b/>
      <w:sz w:val="24"/>
    </w:rPr>
  </w:style>
  <w:style w:customStyle="1" w:styleId="Semnatura" w:type="paragraph">
    <w:name w:val="Semnatura"/>
    <w:basedOn w:val="Normal"/>
    <w:pPr>
      <w:keepNext/>
      <w:keepLines/>
      <w:spacing w:after="160"/>
      <w:ind w:firstLine="0"/>
      <w:jc w:val="center"/>
    </w:pPr>
    <w:rPr>
      <w:rFonts w:ascii="Times New Roman" w:cs="Times New Roman" w:eastAsia="Times New Roman" w:hAnsi="Times New Roman"/>
      <w:b w:val="0"/>
      <w:sz w:val="24"/>
    </w:rPr>
  </w:style>
  <w:style w:customStyle="1" w:styleId="Dreapta" w:type="paragraph">
    <w:name w:val="Dreapta"/>
    <w:basedOn w:val="Normal"/>
    <w:pPr>
      <w:spacing w:after="160"/>
      <w:ind w:firstLine="0"/>
      <w:jc w:val="right"/>
    </w:pPr>
    <w:rPr>
      <w:rFonts w:ascii="Times New Roman" w:cs="Times New Roman" w:eastAsia="Times New Roman" w:hAnsi="Times New Roman"/>
      <w:b w:val="0"/>
      <w:sz w:val="24"/>
    </w:rPr>
  </w:style>
  <w:style w:customStyle="1" w:styleId="Blocfinal" w:type="paragraph">
    <w:name w:val="Bloc final"/>
    <w:basedOn w:val="Normal"/>
    <w:pPr>
      <w:keepNext/>
      <w:keepLines/>
      <w:spacing w:after="160"/>
      <w:ind w:firstLine="0"/>
      <w:jc w:val="both"/>
    </w:pPr>
    <w:rPr>
      <w:rFonts w:ascii="Times New Roman" w:cs="Times New Roman" w:eastAsia="Times New Roman" w:hAnsi="Times New Roman"/>
      <w:b w:val="0"/>
      <w:sz w:val="24"/>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2026-11-02T05:46:45Z</dcterms:created>
  <dcterms:modified xsi:type="dcterms:W3CDTF">2026-11-02T05:46:45Z</dcterms:modified>
</cp:coreProperties>
</file>

<file path=docProps/custom.xml><?xml version="1.0" encoding="utf-8"?>
<Properties xmlns="http://schemas.openxmlformats.org/officeDocument/2006/custom-properties" xmlns:vt="http://schemas.openxmlformats.org/officeDocument/2006/docPropsVTypes"/>
</file>