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Destinatar"/>
      </w:pPr>
      <w:r>
        <w:t xml:space="preserve">Către: MINISTERUL AFACERILOR INTERNE</w:t>
      </w:r>
      <w:r>
        <w:br/>
      </w:r>
      <w:r>
        <w:t xml:space="preserve">Corpul de control al ministrului</w:t>
      </w:r>
      <w:r>
        <w:br/>
      </w:r>
      <w:r>
        <w:t xml:space="preserve">e-mail: sg@mai.gov.ro</w:t>
      </w:r>
    </w:p>
    <w:p>
      <w:pPr>
        <w:pStyle w:val="Destinatar"/>
      </w:pPr>
      <w:r>
        <w:t xml:space="preserve">precum și către: CORPUL NAȚIONAL AL POLIȚIȘTILOR</w:t>
      </w:r>
      <w:r>
        <w:br/>
      </w:r>
      <w:r>
        <w:t xml:space="preserve">Președintele C.N.P.</w:t>
      </w:r>
      <w:r>
        <w:br/>
      </w:r>
      <w:r>
        <w:t xml:space="preserve">e-mail: cnp@cnpromania.ro</w:t>
      </w:r>
    </w:p>
    <w:p>
      <w:pPr>
        <w:pStyle w:val="Titluact"/>
      </w:pPr>
      <w:r>
        <w:t xml:space="preserve">RECLAMAȚIE</w:t>
      </w:r>
    </w:p>
    <w:p>
      <w:pPr>
        <w:pStyle w:val="BodyText"/>
      </w:pPr>
      <w:r>
        <w:t xml:space="preserve">Subsemnatul/Subsemnata</w:t>
      </w:r>
      <w:r>
        <w:t xml:space="preserve"> </w:t>
      </w:r>
      <w:r>
        <w:rPr>
          <w:b/>
          <w:bCs/>
        </w:rPr>
        <w:t xml:space="preserve">[NUME PRENUME]</w:t>
      </w:r>
      <w:r>
        <w:t xml:space="preserve">, [grad profesional], [funcția], în cadrul [structura / unitatea], cu adresa de e-mail pentru comunicări [adresa de e-mail], formulez, în temeiul art. 51 din Constituție și al Ordonanței Guvernului nr. 27/2002, prezenta reclamație împotriva modului în care Corpul Național al Polițiștilor (C.N.P.) – Biroul Executiv Central a soluționat cererea mea de renunțare la calitatea de membru și vă solicit:</w:t>
      </w:r>
    </w:p>
    <w:p>
      <w:pPr>
        <w:pStyle w:val="BodyText"/>
      </w:pPr>
      <w:r>
        <w:t xml:space="preserve">1. să verificați modul în care C.N.P. – Biroul Executiv Central a înregistrat și a soluționat cererea mea din data de [data], transmisă la adresa cnp@cnpromania.ro;</w:t>
      </w:r>
    </w:p>
    <w:p>
      <w:pPr>
        <w:pStyle w:val="BodyText"/>
      </w:pPr>
      <w:r>
        <w:t xml:space="preserve">2. să sesizați persoana în drept, potrivit art. 25 alin. (1) din Hotărârea Guvernului nr. 725/2015 și art. 59 alin. (2) din Legea nr. 360/2002, în vederea declanșării cercetării prealabile a persoanelor care au redactat, aprobat și transmis răspunsul din data de [data], precum și a conducătorului care răspunde, potrivit art. 4 din Ordonanța Guvernului nr. 27/2002, de soluționarea legală și în termen a petițiilor adresate C.N.P.;</w:t>
      </w:r>
    </w:p>
    <w:p>
      <w:pPr>
        <w:pStyle w:val="BodyText"/>
      </w:pPr>
      <w:r>
        <w:t xml:space="preserve">3. să dispuneți măsurile necesare pentru ca cererea mea să fie transmisă structurii competente a C.N.P. și să se constate încetarea calității mele de membru de la data la care am comunicat-o;</w:t>
      </w:r>
    </w:p>
    <w:p>
      <w:pPr>
        <w:pStyle w:val="BodyText"/>
      </w:pPr>
      <w:r>
        <w:t xml:space="preserve">4. să îmi comunicați rezultatul verificării, la adresa de e-mail de mai sus.</w:t>
      </w:r>
    </w:p>
    <w:bookmarkStart w:id="18" w:name="i.-situația-de-fapt"/>
    <w:p>
      <w:pPr>
        <w:pStyle w:val="Heading2"/>
      </w:pPr>
      <w:r>
        <w:t xml:space="preserve">I. SITUAȚIA DE FAPT</w:t>
      </w:r>
    </w:p>
    <w:p>
      <w:pPr>
        <w:pStyle w:val="FirstParagraph"/>
      </w:pPr>
      <w:r>
        <w:t xml:space="preserve">La data de [data], am transmis C.N.P., pe e-mail, la adresa cnp@cnpromania.ro, cererea mea scrisă de renunțare la calitatea de membru.</w:t>
      </w:r>
    </w:p>
    <w:p>
      <w:pPr>
        <w:pStyle w:val="BodyText"/>
      </w:pPr>
      <w:r>
        <w:t xml:space="preserve">La data de [data], de la aceeași adresă, sub antetul „Ministerul Afacerilor Interne – Corpul Național al Polițiștilor – Biroul Executiv Central”, am primit răspunsul prin care mi s-a comunicat că, potrivit art. 13 alin. (1) și (2) din Regulamentul de organizare și funcționare a C.N.P., cererea „trebuie adresată organizației teritoriale” și „va fi înaintată” președintelui Consiliului Teritorial al [unitatea]. Totodată, mi s-a cerut ca, „în vederea finalizării procedurii”, să predau președintelui Consiliului Teritorial legitimația de membru și cardurile de reducere la combustibil.</w:t>
      </w:r>
    </w:p>
    <w:p>
      <w:pPr>
        <w:pStyle w:val="BodyText"/>
      </w:pPr>
      <w:r>
        <w:t xml:space="preserve">Cererea mea nu a fost trimisă de C.N.P. structurii pe care chiar C.N.P. o consideră competentă. Mi-a fost întoarsă mie, cu indicația să mă adresez altcuiva, iar încetarea calității de membru a fost condiționată de predarea unor bunuri. Răspunsul nu poartă numele și semnătura conducătorului și a șefului compartimentului care l-au întocmit [de verificat pe răspunsul primit].</w:t>
      </w:r>
    </w:p>
    <w:bookmarkEnd w:id="18"/>
    <w:bookmarkStart w:id="19" w:name="ii.-motivele-de-drept"/>
    <w:p>
      <w:pPr>
        <w:pStyle w:val="Heading2"/>
      </w:pPr>
      <w:r>
        <w:t xml:space="preserve">II. MOTIVELE DE DREPT</w:t>
      </w:r>
    </w:p>
    <w:p>
      <w:pPr>
        <w:pStyle w:val="FirstParagraph"/>
      </w:pPr>
      <w:r>
        <w:rPr>
          <w:b/>
          <w:bCs/>
        </w:rPr>
        <w:t xml:space="preserve">1. C.N.P. este persoană juridică de drept public și i se aplică Ordonanța Guvernului nr. 27/2002.</w:t>
      </w:r>
      <w:r>
        <w:t xml:space="preserve"> </w:t>
      </w:r>
      <w:r>
        <w:t xml:space="preserve">Potrivit art. 49 alin. (1) din Legea nr. 360/2002 privind Statutul polițistului și art. 6 din Legea nr. 218/2002 privind organizarea și funcționarea Poliției Române, C.N.P. este persoană juridică de drept public. Potrivit art. 1 alin. (2) din Regulamentul aprobat prin Hotărârea Guvernului nr. 1305/2002, C.N.P. funcționează în cadrul Ministerului Afacerilor Interne. C.N.P. este, așadar, una dintre autoritățile și instituțiile publice prevăzute de art. 2 din Ordonanța Guvernului nr. 27/2002 și are toate obligațiile stabilite de aceasta.</w:t>
      </w:r>
    </w:p>
    <w:p>
      <w:pPr>
        <w:pStyle w:val="BodyText"/>
      </w:pPr>
      <w:r>
        <w:rPr>
          <w:b/>
          <w:bCs/>
        </w:rPr>
        <w:t xml:space="preserve">2. Cererea trebuia trimisă structurii competente, nu întoarsă petentului.</w:t>
      </w:r>
      <w:r>
        <w:t xml:space="preserve"> </w:t>
      </w:r>
      <w:r>
        <w:t xml:space="preserve">Potrivit art. 3 din Regulament, C.N.P. este o singură persoană juridică, „format[ă] din departamente și organizații teritoriale”. Cererea mea a ajuns deci la persoana juridică în cadrul căreia funcționează chiar organizația teritorială indicată. Potrivit art. 6 alin. (2) din Ordonanța Guvernului nr. 27/2002, compartimentul de relații cu publicul înaintează petițiile înregistrate compartimentelor de specialitate, în funcție de obiectul lor. Chiar dacă cererea ar fi fost considerată greșit îndreptată, art. 6¹ obliga C.N.P. să o trimită, în termen de 5 zile de la înregistrare, structurii competente și să mă înștiințeze despre aceasta. C.N.P. nu a făcut nici una, nici alta: a refuzat să trimită cererea și m-a îndrumat să o depun din nou, la altă adresă.</w:t>
      </w:r>
    </w:p>
    <w:p>
      <w:pPr>
        <w:pStyle w:val="BodyText"/>
      </w:pPr>
      <w:r>
        <w:t xml:space="preserve">Nerespectarea termenelor de soluționare a petițiilor prevăzute de Ordonanța Guvernului nr. 27/2002 constituie abatere disciplinară potrivit art. 15 lit. a) din aceeași ordonanță. Potrivit art. 13, răspunsul se semnează de conducătorul instituției sau de persoana împuternicită de acesta și de șeful compartimentului care a soluționat petiția.</w:t>
      </w:r>
    </w:p>
    <w:p>
      <w:pPr>
        <w:pStyle w:val="BodyText"/>
      </w:pPr>
      <w:r>
        <w:rPr>
          <w:b/>
          <w:bCs/>
        </w:rPr>
        <w:t xml:space="preserve">3. Renunțarea la calitatea de membru nu poate fi condiționată.</w:t>
      </w:r>
      <w:r>
        <w:t xml:space="preserve"> </w:t>
      </w:r>
      <w:r>
        <w:t xml:space="preserve">Art. 13 alin. (1) din Regulament prevede că polițistul „poate renunța oricând” la calitatea de membru, iar alin. (2) cere doar ca renunțarea să se facă în scris. Regulamentul nu condiționează renunțarea de nicio aprobare și de predarea legitimației sau a cardurilor de reducere. Prin condiționarea „finalizării procedurii” de predarea acestor bunuri, autorii răspunsului au adăugat la regulament o condiție pe care acesta nu o conține. Eventuala restituire a unor bunuri ale C.N.P. este o chestiune separată, care nu poate amâna efectul renunțării.</w:t>
      </w:r>
    </w:p>
    <w:p>
      <w:pPr>
        <w:pStyle w:val="BodyText"/>
      </w:pPr>
      <w:r>
        <w:rPr>
          <w:b/>
          <w:bCs/>
        </w:rPr>
        <w:t xml:space="preserve">4. Libertatea de asociere și dreptul la salariu.</w:t>
      </w:r>
      <w:r>
        <w:t xml:space="preserve"> </w:t>
      </w:r>
      <w:r>
        <w:t xml:space="preserve">Art. 40 alin. (1) din Constituție garantează libertatea de asociere, iar art. 48 alin. (1) din Legea nr. 360/2002 prevede că polițiștii „se pot asocia”. Art. 20 alin. (2) din Declarația Universală a Drepturilor Omului, la care trimite art. 20 alin. (1) din Constituție, prevede expres că nimeni nu poate fi obligat să facă parte dintr-o asociație. În același sens sunt art. 11 din Convenția europeană a drepturilor omului, interpretat de Curtea Europeană a Drepturilor Omului ca protejând și libertatea negativă de asociere (cauzele</w:t>
      </w:r>
      <w:r>
        <w:t xml:space="preserve"> </w:t>
      </w:r>
      <w:r>
        <w:rPr>
          <w:i/>
          <w:iCs/>
        </w:rPr>
        <w:t xml:space="preserve">Young, James și Webster c. Regatului Unit</w:t>
      </w:r>
      <w:r>
        <w:t xml:space="preserve">, 13 august 1981, și</w:t>
      </w:r>
      <w:r>
        <w:t xml:space="preserve"> </w:t>
      </w:r>
      <w:r>
        <w:rPr>
          <w:i/>
          <w:iCs/>
        </w:rPr>
        <w:t xml:space="preserve">Sigurður A. Sigurjónsson c. Islandei</w:t>
      </w:r>
      <w:r>
        <w:t xml:space="preserve">, 30 iunie 1993), și art. 22 din Pactul internațional cu privire la drepturile civile și politice.</w:t>
      </w:r>
    </w:p>
    <w:p>
      <w:pPr>
        <w:pStyle w:val="BodyText"/>
      </w:pPr>
      <w:r>
        <w:t xml:space="preserve">Prin blocarea cererii, sunt menținut membru împotriva voinței mele, iar cotizația riscă să îmi fie reținută în continuare din salariu. Salariul este un drept al polițistului (art. 28 alin. (1) lit. a) din Legea nr. 360/2002) și un bun protejat de art. 44 din Constituție și de art. 1 din Protocolul nr. 1 la Convenția europeană a drepturilor omului. Reținerile din salariu sunt permise numai în cazurile și condițiile prevăzute de lege (art. 169 alin. (1) din Codul muncii; art. 6 și 8 din Convenția Organizației Internaționale a Muncii nr. 95/1949 privind protecția salariului, ratificată de România).</w:t>
      </w:r>
    </w:p>
    <w:p>
      <w:pPr>
        <w:pStyle w:val="BodyText"/>
      </w:pPr>
      <w:r>
        <w:rPr>
          <w:b/>
          <w:bCs/>
        </w:rPr>
        <w:t xml:space="preserve">5. Persoanele detașate la C.N.P. rămân polițiști și răspund potrivit Legii nr. 360/2002.</w:t>
      </w:r>
      <w:r>
        <w:t xml:space="preserve"> </w:t>
      </w:r>
      <w:r>
        <w:t xml:space="preserve">Detașarea nu face din polițist altceva decât un polițist. Potrivit art. 27⁸ alin. (1) din Legea nr. 360/2002, detașarea constă doar în „schimbarea temporară a locului de muncă și exercitarea atribuțiilor” în cadrul altei unități sau instituții, iar art. 49 alin. (5) din aceeași lege prevede că polițiștii aleși în organele de conducere ale C.N.P. „vor fi detașați”. Potrivit art. 7 din Anexa nr. 7 la Ordinul ministrului afacerilor interne nr. 140/2016, polițistul detașat la C.N.P. este mutat la Direcția Generală Management Resurse Umane și numit într-o funcție din statul anexă „C”. Raportul de serviciu continuă, iar odată cu el rămân toate îndatoririle, interdicțiile și răspunderea disciplinară prevăzute de Statutul polițistului.</w:t>
      </w:r>
    </w:p>
    <w:p>
      <w:pPr>
        <w:pStyle w:val="BodyText"/>
      </w:pPr>
      <w:r>
        <w:t xml:space="preserve">Aceste îndatoriri sunt clare. Potrivit art. 4 alin. (1) din Legea nr. 360/2002, polițistul este obligat să respecte drepturile și libertățile fundamentale ale omului, Constituția și legile țării. Potrivit art. 41 lit. b), este dator să dovedească solicitudine și respect față de orice persoană și să își îndeplinească îndatoririle cu competență, integritate, corectitudine și conștiinciozitate. Demnitatea omului și drepturile și libertățile cetățenilor sunt valori supreme garantate de art. 1 alin. (3) din Constituție.</w:t>
      </w:r>
    </w:p>
    <w:p>
      <w:pPr>
        <w:pStyle w:val="BodyText"/>
      </w:pPr>
      <w:r>
        <w:t xml:space="preserve">Codul de etică și deontologie al polițistului, aprobat prin Hotărârea Guvernului nr. 991/2005, ale cărui prevederi sunt obligatorii în exercitarea profesiei de polițist (art. 50 lit. e) din Legea nr. 360/2002), se aplică oricărui polițist, iar art. 2 alin. (1) din Cod prevede că „orice persoană poate pretinde polițistului respectarea acestor reguli de conduită”. Codul impune legalitatea, adică obligația de a respecta legea, precum și drepturile și libertățile constituționale ale persoanelor (art. 6 lit. a), și respectul față de persoane, colegi și drepturile și libertățile acestora (art. 6 lit. i). Polițistul trebuie să își îndeplinească atribuțiile „cu respectarea și protejarea drepturilor și libertăților fundamentale ale persoanei”, în conformitate cu Declarația Universală a Drepturilor Omului, Convenția europeană a drepturilor omului și tratatele la care România este parte (art. 7 alin. (3) din Cod), și să verifice legalitatea acțiunilor sale atât față de legislația națională, cât și față de documentele internaționale (art. 22). Polițistul răspunde personal pentru acțiunile, inacțiunile și omisiunile sale (art. 23 alin. (1) din Cod). Codul mai precizează că polițiștii „pot deveni” membri ai C.N.P. (art. 21 alin. (4) din Cod), deci calitatea de membru este o opțiune, nu o obligație.</w:t>
      </w:r>
    </w:p>
    <w:p>
      <w:pPr>
        <w:pStyle w:val="BodyText"/>
      </w:pPr>
      <w:r>
        <w:t xml:space="preserve">Polițiștii detașați la C.N.P., care îi țin pe colegii lor membri împotriva voinței lor și le blochează cererea de renunțare, încalcă tocmai aceste reguli.</w:t>
      </w:r>
    </w:p>
    <w:p>
      <w:pPr>
        <w:pStyle w:val="BodyText"/>
      </w:pPr>
      <w:r>
        <w:rPr>
          <w:b/>
          <w:bCs/>
        </w:rPr>
        <w:t xml:space="preserve">6. Faptele constituie abateri disciplinare.</w:t>
      </w:r>
      <w:r>
        <w:t xml:space="preserve"> </w:t>
      </w:r>
      <w:r>
        <w:t xml:space="preserve">Faptele descrise constituie, în opinia mea, neglijență în îndeplinirea îndatoririlor de serviciu (art. 57 lit. b), depășirea atribuțiilor de serviciu și lipsă de solicitudine în relațiile cu cetățenii (art. 57 lit. d) și încălcarea îndatoririlor stabilite prin lege (art. 57 lit. k) din Legea nr. 360/2002), iar pentru personalul contractual, abaterea prevăzută de art. 15 lit. a) din Ordonanța Guvernului nr. 27/2002, sancționată potrivit legislației muncii.</w:t>
      </w:r>
    </w:p>
    <w:p>
      <w:pPr>
        <w:pStyle w:val="BodyText"/>
      </w:pPr>
      <w:r>
        <w:t xml:space="preserve">Potrivit art. 25 alin. (1) din Hotărârea Guvernului nr. 725/2015, atunci când pe timpul activităților de control se constată fapte care pot constitui abateri disciplinare, organele de control pot sesiza, prin notă motivată, persoana în drept să decidă declanșarea cercetării prealabile.</w:t>
      </w:r>
    </w:p>
    <w:bookmarkEnd w:id="19"/>
    <w:bookmarkStart w:id="20" w:name="iii.-probe"/>
    <w:p>
      <w:pPr>
        <w:pStyle w:val="Heading2"/>
      </w:pPr>
      <w:r>
        <w:t xml:space="preserve">III. PROBE</w:t>
      </w:r>
    </w:p>
    <w:p>
      <w:pPr>
        <w:pStyle w:val="Blocfinal"/>
      </w:pPr>
      <w:r>
        <w:t xml:space="preserve">Anexez: cererea de renunțare din [data] și e-mailul prin care am transmis-o la cnp@cnpromania.ro; răspunsul C.N.P. – Biroul Executiv Central din [data]; [fluturașul de salariu din luna …, din care rezultă reținerea cotizației după data cererii].</w:t>
      </w:r>
    </w:p>
    <w:p>
      <w:pPr>
        <w:pStyle w:val="Semnatura"/>
      </w:pPr>
      <w:r>
        <w:t xml:space="preserve">[NUME PRENUME]</w:t>
      </w:r>
      <w:r>
        <w:br/>
      </w:r>
      <w:r>
        <w:t xml:space="preserve">[grad profesional]</w:t>
      </w:r>
    </w:p>
    <w:bookmarkEnd w:id="20"/>
    <w:sectPr>
      <w:footerReference r:id="rId9" w:type="default"/>
      <w:pgSz w:h="16838" w:w="11906"/>
      <w:pgMar w:bottom="1134" w:left="1417"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2"/>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76" w:lineRule="auto"/>
      <w:ind w:firstLine="0"/>
      <w:jc w:val="both"/>
    </w:pPr>
    <w:rPr>
      <w:rFonts w:ascii="Times New Roman" w:cs="Times New Roman" w:eastAsia="Times New Roman" w:hAnsi="Times New Roman"/>
      <w:sz w:val="24"/>
    </w:rPr>
  </w:style>
  <w:style w:styleId="BodyText" w:type="paragraph">
    <w:name w:val="Body Text"/>
    <w:basedOn w:val="Normal"/>
    <w:link w:val="BodyTextChar"/>
    <w:pPr>
      <w:spacing w:after="160" w:before="0" w:line="276" w:lineRule="auto"/>
      <w:ind w:firstLine="0"/>
      <w:jc w:val="both"/>
    </w:pPr>
    <w:qFormat/>
    <w:rPr>
      <w:rFonts w:ascii="Times New Roman" w:cs="Times New Roman" w:eastAsia="Times New Roman" w:hAnsi="Times New Roman"/>
      <w:sz w:val="24"/>
    </w:rPr>
  </w:style>
  <w:style w:customStyle="1" w:styleId="FirstParagraph" w:type="paragraph">
    <w:name w:val="First Paragraph"/>
    <w:basedOn w:val="BodyText"/>
    <w:next w:val="BodyText"/>
    <w:qFormat/>
    <w:pPr>
      <w:spacing w:after="160" w:before="0" w:line="276" w:lineRule="auto"/>
      <w:ind w:firstLine="0"/>
      <w:jc w:val="both"/>
    </w:pPr>
    <w:rPr>
      <w:rFonts w:ascii="Times New Roman" w:cs="Times New Roman" w:eastAsia="Times New Roman" w:hAnsi="Times New Roman"/>
      <w:sz w:val="24"/>
    </w:rPr>
  </w:style>
  <w:style w:customStyle="1" w:styleId="Compact" w:type="paragraph">
    <w:name w:val="Compact"/>
    <w:basedOn w:val="BodyText"/>
    <w:qFormat/>
    <w:pPr>
      <w:spacing w:after="160" w:before="0" w:line="276" w:lineRule="auto"/>
      <w:ind w:firstLine="0"/>
      <w:jc w:val="both"/>
    </w:pPr>
    <w:rPr>
      <w:rFonts w:ascii="Times New Roman" w:cs="Times New Roman" w:eastAsia="Times New Roman" w:hAnsi="Times New Roman"/>
      <w:sz w:val="24"/>
    </w:rPr>
  </w:style>
  <w:style w:styleId="Title" w:type="paragraph">
    <w:name w:val="Title"/>
    <w:basedOn w:val="Normal"/>
    <w:next w:val="BodyText"/>
    <w:qFormat/>
    <w:pPr>
      <w:keepNext/>
      <w:keepLines/>
      <w:spacing w:after="160" w:before="240"/>
      <w:jc w:val="center"/>
    </w:pPr>
    <w:rPr>
      <w:rFonts w:ascii="Times New Roman" w:asciiTheme="majorHAnsi" w:cs="Times New Roman" w:cstheme="majorBidi" w:eastAsia="Times New Roman" w:eastAsiaTheme="majorEastAsia" w:hAnsi="Times New Roman" w:hAnsiTheme="majorHAnsi"/>
      <w:b/>
      <w:bCs/>
      <w:i w:val="0"/>
      <w:color w:val="000000"/>
      <w:sz w:val="28"/>
      <w:szCs w:val="36"/>
    </w:rPr>
  </w:style>
  <w:style w:styleId="Subtitle" w:type="paragraph">
    <w:name w:val="Subtitle"/>
    <w:basedOn w:val="Title"/>
    <w:next w:val="BodyText"/>
    <w:qFormat/>
    <w:pPr>
      <w:keepNext/>
      <w:keepLines/>
      <w:spacing w:after="240" w:before="240"/>
      <w:jc w:val="center"/>
    </w:pPr>
    <w:rPr>
      <w:rFonts w:ascii="Times New Roman" w:cs="Times New Roman" w:eastAsia="Times New Roman" w:hAnsi="Times New Roman"/>
      <w:sz w:val="24"/>
      <w:szCs w:val="30"/>
    </w:rPr>
  </w:style>
  <w:style w:customStyle="1" w:styleId="Author" w:type="paragraph">
    <w:name w:val="Author"/>
    <w:next w:val="BodyText"/>
    <w:qFormat/>
    <w:pPr>
      <w:keepNext/>
      <w:keepLines/>
      <w:jc w:val="center"/>
    </w:pPr>
    <w:rPr>
      <w:rFonts w:ascii="Times New Roman" w:cs="Times New Roman" w:eastAsia="Times New Roman" w:hAnsi="Times New Roman"/>
      <w:sz w:val="24"/>
    </w:rPr>
  </w:style>
  <w:style w:styleId="Date" w:type="paragraph">
    <w:name w:val="Date"/>
    <w:next w:val="BodyText"/>
    <w:qFormat/>
    <w:pPr>
      <w:keepNext/>
      <w:keepLines/>
      <w:jc w:val="center"/>
    </w:pPr>
    <w:rPr>
      <w:rFonts w:ascii="Times New Roman" w:cs="Times New Roman" w:eastAsia="Times New Roman" w:hAnsi="Times New Roman"/>
      <w:sz w:val="24"/>
    </w:rPr>
  </w:style>
  <w:style w:customStyle="1" w:styleId="AbstractTitle" w:type="paragraph">
    <w:name w:val="Abstract Title"/>
    <w:basedOn w:val="Normal"/>
    <w:next w:val="Abstract"/>
    <w:qFormat/>
    <w:pPr>
      <w:keepNext/>
      <w:keepLines/>
      <w:jc w:val="center"/>
      <w:spacing w:after="0" w:before="300"/>
    </w:pPr>
    <w:rPr>
      <w:sz w:val="24"/>
      <w:szCs w:val="20"/>
      <w:rFonts w:ascii="Times New Roman" w:cs="Times New Roman" w:eastAsia="Times New Roman" w:hAnsi="Times New Roman"/>
      <w:b/>
      <w:color w:val="345A8A"/>
      &gt;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sz w:val="24"/>
      <w:szCs w:val="20"/>
    </w:rPr>
  </w:style>
  <w:style w:styleId="Bibliography" w:type="paragraph">
    <w:name w:val="Bibliography"/>
    <w:basedOn w:val="Normal"/>
    <w:next w:val="Bibliography"/>
    <w:qFormat/>
    <w:pPr/>
    <w:rPr>
      <w:rFonts w:ascii="Times New Roman" w:cs="Times New Roman" w:eastAsia="Times New Roman" w:hAnsi="Times New Roman"/>
      <w:sz w:val="24"/>
    </w:rPr>
  </w:style>
  <w:style w:styleId="Heading1" w:type="paragraph">
    <w:name w:val="Heading 1"/>
    <w:basedOn w:val="Normal"/>
    <w:next w:val="BodyText"/>
    <w:uiPriority w:val="9"/>
    <w:qFormat/>
    <w:pPr>
      <w:keepNext/>
      <w:keepLines/>
      <w:spacing w:after="0" w:before="480"/>
      <w:outlineLvl w:val="0"/>
    </w:pPr>
    <w:rPr>
      <w:rFonts w:ascii="Times New Roman" w:cs="Times New Roman" w:eastAsia="Times New Roman" w:hAnsi="Times New Roman"/>
      <w:b/>
      <w:bCs/>
      <w:color w:val="000000"/>
      <w:sz w:val="24"/>
      <w:szCs w:val="32"/>
    </w:rPr>
  </w:style>
  <w:style w:styleId="Heading2" w:type="paragraph">
    <w:name w:val="Heading 2"/>
    <w:basedOn w:val="Normal"/>
    <w:next w:val="BodyText"/>
    <w:uiPriority w:val="9"/>
    <w:unhideWhenUsed/>
    <w:qFormat/>
    <w:pPr>
      <w:keepNext/>
      <w:keepLines/>
      <w:spacing w:after="0" w:before="200"/>
      <w:outlineLvl w:val="1"/>
    </w:pPr>
    <w:rPr>
      <w:rFonts w:ascii="Times New Roman" w:cs="Times New Roman" w:eastAsia="Times New Roman" w:hAnsi="Times New Roman"/>
      <w:b/>
      <w:bCs/>
      <w:color w:val="000000"/>
      <w:sz w:val="24"/>
      <w:szCs w:val="28"/>
    </w:rPr>
  </w:style>
  <w:style w:styleId="Heading3" w:type="paragraph">
    <w:name w:val="Heading 3"/>
    <w:basedOn w:val="Normal"/>
    <w:next w:val="BodyText"/>
    <w:uiPriority w:val="9"/>
    <w:unhideWhenUsed/>
    <w:qFormat/>
    <w:pPr>
      <w:keepNext/>
      <w:keepLines/>
      <w:spacing w:after="0" w:before="200"/>
      <w:outlineLvl w:val="2"/>
    </w:pPr>
    <w:rPr>
      <w:rFonts w:ascii="Times New Roman" w:cs="Times New Roman" w:eastAsia="Times New Roman" w:hAnsi="Times New Roman"/>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cs="Times New Roman" w:eastAsia="Times New Roman" w:hAnsi="Times New Roman"/>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cs="Times New Roman" w:eastAsia="Times New Roman" w:hAnsi="Times New Roman"/>
      <w:sz w:val="24"/>
    </w:rPr>
  </w:style>
  <w:style w:styleId="FootnoteText" w:type="paragraph">
    <w:name w:val="Footnote Text"/>
    <w:basedOn w:val="Normal"/>
    <w:next w:val="FootnoteText"/>
    <w:uiPriority w:val="9"/>
    <w:unhideWhenUsed/>
    <w:qFormat/>
    <w:rPr>
      <w:rFonts w:ascii="Times New Roman" w:cs="Times New Roman" w:eastAsia="Times New Roman" w:hAnsi="Times New Roman"/>
      <w:sz w:val="24"/>
    </w:rPr>
  </w:style>
  <w:style w:default="1" w:styleId="DefaultParagraphFont" w:type="character">
    <w:name w:val="Default Paragraph Font"/>
    <w:semiHidden/>
    <w:unhideWhenUsed/>
    <w:rPr>
      <w:rFonts w:ascii="Times New Roman" w:cs="Times New Roman" w:eastAsia="Times New Roman" w:hAnsi="Times New Roman"/>
      <w:sz w:val="24"/>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sz w:val="24"/>
    </w:rPr>
  </w:style>
  <w:style w:customStyle="1" w:styleId="Definition" w:type="paragraph">
    <w:name w:val="Definition"/>
    <w:basedOn w:val="Normal"/>
    <w:rPr>
      <w:rFonts w:ascii="Times New Roman" w:cs="Times New Roman" w:eastAsia="Times New Roman" w:hAnsi="Times New Roman"/>
      <w:sz w:val="24"/>
    </w:rPr>
  </w:style>
  <w:style w:styleId="Caption" w:type="paragraph">
    <w:name w:val="Caption"/>
    <w:basedOn w:val="Normal"/>
    <w:link w:val="BodyTextChar"/>
    <w:pPr>
      <w:spacing w:after="120" w:before="0"/>
    </w:pPr>
    <w:rPr>
      <w:rFonts w:ascii="Times New Roman" w:cs="Times New Roman" w:eastAsia="Times New Roman" w:hAnsi="Times New Roman"/>
      <w:i/>
      <w:sz w:val="24"/>
    </w:rPr>
  </w:style>
  <w:style w:customStyle="1" w:styleId="TableCaption" w:type="paragraph">
    <w:name w:val="Table Caption"/>
    <w:basedOn w:val="Caption"/>
    <w:pPr>
      <w:keepNext/>
    </w:pPr>
    <w:rPr>
      <w:rFonts w:ascii="Times New Roman" w:cs="Times New Roman" w:eastAsia="Times New Roman" w:hAnsi="Times New Roman"/>
      <w:sz w:val="24"/>
    </w:rPr>
  </w:style>
  <w:style w:customStyle="1" w:styleId="ImageCaption" w:type="paragraph">
    <w:name w:val="Image Caption"/>
    <w:basedOn w:val="Caption"/>
    <w:rPr>
      <w:rFonts w:ascii="Times New Roman" w:cs="Times New Roman" w:eastAsia="Times New Roman" w:hAnsi="Times New Roman"/>
      <w:sz w:val="24"/>
    </w:rPr>
  </w:style>
  <w:style w:customStyle="1" w:styleId="Figure" w:type="paragraph">
    <w:name w:val="Figure"/>
    <w:basedOn w:val="Normal"/>
    <w:rPr>
      <w:rFonts w:ascii="Times New Roman" w:cs="Times New Roman" w:eastAsia="Times New Roman" w:hAnsi="Times New Roman"/>
      <w:sz w:val="24"/>
    </w:rPr>
  </w:style>
  <w:style w:customStyle="1" w:styleId="CaptionedFigure" w:type="paragraph">
    <w:name w:val="Captioned Figure"/>
    <w:basedOn w:val="Figure"/>
    <w:pPr>
      <w:keepNext/>
    </w:pPr>
    <w:rPr>
      <w:rFonts w:ascii="Times New Roman" w:cs="Times New Roman" w:eastAsia="Times New Roman" w:hAnsi="Times New Roman"/>
      <w:sz w:val="24"/>
    </w:rPr>
  </w:style>
  <w:style w:customStyle="1" w:styleId="BodyTextChar" w:type="character">
    <w:name w:val="Body Text Char"/>
    <w:basedOn w:val="DefaultParagraphFont"/>
    <w:link w:val="BodyText"/>
    <w:rPr>
      <w:rFonts w:ascii="Times New Roman" w:cs="Times New Roman" w:eastAsia="Times New Roman" w:hAnsi="Times New Roman"/>
      <w:sz w:val="24"/>
    </w:rPr>
  </w:style>
  <w:style w:customStyle="1" w:styleId="VerbatimChar" w:type="character">
    <w:name w:val="Verbatim Char"/>
    <w:basedOn w:val="BodyTextChar"/>
    <w:rPr>
      <w:rFonts w:ascii="Times New Roman" w:cs="Times New Roman" w:eastAsia="Times New Roman" w:hAnsi="Times New Roman"/>
      <w:sz w:val="24"/>
    </w:rPr>
  </w:style>
  <w:style w:customStyle="1" w:styleId="SectionNumber" w:type="character">
    <w:name w:val="Section Number"/>
    <w:basedOn w:val="BodyTextChar"/>
    <w:rPr>
      <w:rFonts w:ascii="Times New Roman" w:cs="Times New Roman" w:eastAsia="Times New Roman" w:hAnsi="Times New Roman"/>
      <w:sz w:val="24"/>
    </w:rPr>
  </w:style>
  <w:style w:styleId="FootnoteReference" w:type="character">
    <w:name w:val="Footnote Reference"/>
    <w:basedOn w:val="BodyTextChar"/>
    <w:rPr>
      <w:rFonts w:ascii="Times New Roman" w:cs="Times New Roman" w:eastAsia="Times New Roman" w:hAnsi="Times New Roman"/>
      <w:sz w:val="24"/>
      <w:vertAlign w:val="superscript"/>
    </w:rPr>
  </w:style>
  <w:style w:styleId="Hyperlink" w:type="character">
    <w:name w:val="Hyperlink"/>
    <w:basedOn w:val="BodyTextChar"/>
    <w:rPr>
      <w:rFonts w:ascii="Times New Roman" w:cs="Times New Roman" w:eastAsia="Times New Roman" w:hAnsi="Times New Roman"/>
      <w:color w:themeColor="accent1" w:val="4F81BD"/>
      <w:sz w:val="24"/>
    </w:rPr>
  </w:style>
  <w:style w:styleId="TOCHeading" w:type="paragraph">
    <w:name w:val="TOC Heading"/>
    <w:basedOn w:val="Heading1"/>
    <w:next w:val="BodyText"/>
    <w:uiPriority w:val="39"/>
    <w:unhideWhenUsed/>
    <w:qFormat/>
    <w:pPr>
      <w:spacing w:before="240" w:line="259" w:lineRule="auto"/>
      <w:outlineLvl w:val="9"/>
    </w:pPr>
    <w:rPr>
      <w:rFonts w:ascii="Times New Roman" w:asciiTheme="majorHAnsi" w:cs="Times New Roman" w:cstheme="majorBidi" w:eastAsia="Times New Roman" w:eastAsiaTheme="majorEastAsia" w:hAnsi="Times New Roman" w:hAnsiTheme="majorHAnsi"/>
      <w:b w:val="0"/>
      <w:bCs w:val="0"/>
      <w:color w:themeColor="accent1" w:themeShade="BF" w:val="365F91"/>
      <w:sz w:val="24"/>
    </w:rPr>
  </w:style>
  <w:style w:customStyle="1" w:styleId="Titluact" w:type="paragraph">
    <w:name w:val="Titlu act"/>
    <w:basedOn w:val="Normal"/>
    <w:pPr>
      <w:keepNext/>
      <w:keepLines/>
      <w:spacing w:after="160"/>
      <w:ind w:firstLine="0"/>
      <w:jc w:val="center"/>
    </w:pPr>
    <w:rPr>
      <w:rFonts w:ascii="Times New Roman" w:cs="Times New Roman" w:eastAsia="Times New Roman" w:hAnsi="Times New Roman"/>
      <w:b/>
      <w:sz w:val="24"/>
    </w:rPr>
  </w:style>
  <w:style w:customStyle="1" w:styleId="Destinatar" w:type="paragraph">
    <w:name w:val="Destinatar"/>
    <w:basedOn w:val="Normal"/>
    <w:pPr>
      <w:spacing w:after="160"/>
      <w:ind w:firstLine="0"/>
      <w:jc w:val="left"/>
    </w:pPr>
    <w:rPr>
      <w:rFonts w:ascii="Times New Roman" w:cs="Times New Roman" w:eastAsia="Times New Roman" w:hAnsi="Times New Roman"/>
      <w:b/>
      <w:sz w:val="24"/>
    </w:rPr>
  </w:style>
  <w:style w:customStyle="1" w:styleId="Semnatura" w:type="paragraph">
    <w:name w:val="Semnatura"/>
    <w:basedOn w:val="Normal"/>
    <w:pPr>
      <w:keepNext/>
      <w:keepLines/>
      <w:spacing w:after="160"/>
      <w:ind w:firstLine="0"/>
      <w:jc w:val="center"/>
    </w:pPr>
    <w:rPr>
      <w:rFonts w:ascii="Times New Roman" w:cs="Times New Roman" w:eastAsia="Times New Roman" w:hAnsi="Times New Roman"/>
      <w:b w:val="0"/>
      <w:sz w:val="24"/>
    </w:rPr>
  </w:style>
  <w:style w:customStyle="1" w:styleId="Dreapta" w:type="paragraph">
    <w:name w:val="Dreapta"/>
    <w:basedOn w:val="Normal"/>
    <w:pPr>
      <w:spacing w:after="160"/>
      <w:ind w:firstLine="0"/>
      <w:jc w:val="right"/>
    </w:pPr>
    <w:rPr>
      <w:rFonts w:ascii="Times New Roman" w:cs="Times New Roman" w:eastAsia="Times New Roman" w:hAnsi="Times New Roman"/>
      <w:b w:val="0"/>
      <w:sz w:val="24"/>
    </w:rPr>
  </w:style>
  <w:style w:customStyle="1" w:styleId="Blocfinal" w:type="paragraph">
    <w:name w:val="Bloc final"/>
    <w:basedOn w:val="Normal"/>
    <w:pPr>
      <w:keepNext/>
      <w:keepLines/>
      <w:spacing w:after="160"/>
      <w:ind w:firstLine="0"/>
      <w:jc w:val="both"/>
    </w:pPr>
    <w:rPr>
      <w:rFonts w:ascii="Times New Roman" w:cs="Times New Roman" w:eastAsia="Times New Roman" w:hAnsi="Times New Roman"/>
      <w:b w:val="0"/>
      <w:sz w:val="2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2026-10-23T19:08:58Z</dcterms:created>
  <dcterms:modified xsi:type="dcterms:W3CDTF">2026-10-23T19:08:58Z</dcterms:modified>
</cp:coreProperties>
</file>

<file path=docProps/custom.xml><?xml version="1.0" encoding="utf-8"?>
<Properties xmlns="http://schemas.openxmlformats.org/officeDocument/2006/custom-properties" xmlns:vt="http://schemas.openxmlformats.org/officeDocument/2006/docPropsVTypes"/>
</file>