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Destinatar"/>
      </w:pPr>
      <w:r>
        <w:t xml:space="preserve">Către: [DENUMIREA UNITĂȚII – ex. INSPECTORATUL DE POLIȚIE JUDEȚEAN …]</w:t>
      </w:r>
      <w:r>
        <w:br/>
      </w:r>
      <w:r>
        <w:t xml:space="preserve">În atenția: [inspectorului-șef / șefului unității]</w:t>
      </w:r>
    </w:p>
    <w:p>
      <w:pPr>
        <w:pStyle w:val="Titluact"/>
      </w:pPr>
      <w:r>
        <w:t xml:space="preserve">CERERE DE CERCETARE DISCIPLINARĂ</w:t>
      </w:r>
    </w:p>
    <w:p>
      <w:pPr>
        <w:pStyle w:val="BodyText"/>
      </w:pPr>
      <w:r>
        <w:t xml:space="preserve">Subsemnatul/Subsemnata</w:t>
      </w:r>
      <w:r>
        <w:t xml:space="preserve"> </w:t>
      </w:r>
      <w:r>
        <w:rPr>
          <w:b/>
          <w:bCs/>
        </w:rPr>
        <w:t xml:space="preserve">[NUME PRENUME]</w:t>
      </w:r>
      <w:r>
        <w:t xml:space="preserve">, [grad profesional], [funcția], în cadrul [structura / unitatea], cu adresa de e-mail pentru comunicări [adresa de e-mail], formulez prezenta cerere și vă solicit:</w:t>
      </w:r>
    </w:p>
    <w:p>
      <w:pPr>
        <w:pStyle w:val="BodyText"/>
      </w:pPr>
      <w:r>
        <w:t xml:space="preserve">1. să dispuneți, potrivit art. 59 alin. (2) din Legea nr. 360/2002 privind Statutul polițistului și Hotărârii Guvernului nr. 725/2015, cercetarea prealabilă a șefului structurii financiare a unității și a persoanelor din această structură care au primit și nu au dat curs cererii mele nr. [ ] din [data], prin care mi-am retras acordul pentru reținerea cotizației către Corpul Național al Polițiștilor (C.N.P.), pentru abaterile disciplinare prevăzute de art. 57 lit. b), c), c¹), d) și k) din Legea nr. 360/2002, iar pentru personalul contractual, în condițiile art. 15 lit. a) din Ordonanța Guvernului nr. 27/2002 și ale legislației muncii;</w:t>
      </w:r>
    </w:p>
    <w:p>
      <w:pPr>
        <w:pStyle w:val="BodyText"/>
      </w:pPr>
      <w:r>
        <w:t xml:space="preserve">2. să dispuneți încetarea de îndată a reținerii cotizației către C.N.P. din salariul meu;</w:t>
      </w:r>
    </w:p>
    <w:p>
      <w:pPr>
        <w:pStyle w:val="BodyText"/>
      </w:pPr>
      <w:r>
        <w:t xml:space="preserve">3. să dispuneți restituirea sumelor reținute cu acest titlu după data înregistrării cererii mele, în total [suma] lei, pentru lunile [lunile];</w:t>
      </w:r>
    </w:p>
    <w:p>
      <w:pPr>
        <w:pStyle w:val="BodyText"/>
      </w:pPr>
      <w:r>
        <w:t xml:space="preserve">4. să îmi comunicați măsurile dispuse și rezultatul cercetării, la adresa de e-mail de mai sus, în termenul prevăzut de art. 8 alin. (1) din Ordonanța Guvernului nr. 27/2002.</w:t>
      </w:r>
    </w:p>
    <w:bookmarkStart w:id="18" w:name="i.-situația-de-fapt"/>
    <w:p>
      <w:pPr>
        <w:pStyle w:val="Heading2"/>
      </w:pPr>
      <w:r>
        <w:t xml:space="preserve">I. SITUAȚIA DE FAPT</w:t>
      </w:r>
    </w:p>
    <w:p>
      <w:pPr>
        <w:pStyle w:val="FirstParagraph"/>
      </w:pPr>
      <w:r>
        <w:t xml:space="preserve">La data de [data], am transmis structurii financiare a unității, [prin e-mail la adresa … / prin registratură], cererea prin care mi-am retras acordul pentru reținerea cotizației către C.N.P. și am solicitat oprirea acesteia începând cu salariul lunii [luna]. Cererea a fost înregistrată sub nr. [ ] [sau: dovada transmiterii este e-mailul din data de …].</w:t>
      </w:r>
    </w:p>
    <w:p>
      <w:pPr>
        <w:pStyle w:val="BodyText"/>
      </w:pPr>
      <w:r>
        <w:t xml:space="preserve">[Varianta A] Nici până la data prezentei cererea mea nu a primit răspuns, deși termenul de 30 de zile s-a împlinit la [data].</w:t>
      </w:r>
    </w:p>
    <w:p>
      <w:pPr>
        <w:pStyle w:val="BodyText"/>
      </w:pPr>
      <w:r>
        <w:t xml:space="preserve">[Varianta B] Prin adresa nr. [ ] din [data], structura financiară mi-a refuzat cererea, cu motivarea că [motivul invocat].</w:t>
      </w:r>
    </w:p>
    <w:p>
      <w:pPr>
        <w:pStyle w:val="BodyText"/>
      </w:pPr>
      <w:r>
        <w:t xml:space="preserve">Cotizația către C.N.P., de [suma] lei pe lună, mi-a fost reținută în continuare din salariu în lunile [lunile], așa cum rezultă din fluturașii de salariu anexați.</w:t>
      </w:r>
    </w:p>
    <w:bookmarkEnd w:id="18"/>
    <w:bookmarkStart w:id="19" w:name="ii.-motivele-de-drept"/>
    <w:p>
      <w:pPr>
        <w:pStyle w:val="Heading2"/>
      </w:pPr>
      <w:r>
        <w:t xml:space="preserve">II. MOTIVELE DE DREPT</w:t>
      </w:r>
    </w:p>
    <w:p>
      <w:pPr>
        <w:pStyle w:val="FirstParagraph"/>
      </w:pPr>
      <w:r>
        <w:rPr>
          <w:b/>
          <w:bCs/>
        </w:rPr>
        <w:t xml:space="preserve">1. Salariul este bunul polițistului.</w:t>
      </w:r>
      <w:r>
        <w:t xml:space="preserve"> </w:t>
      </w:r>
      <w:r>
        <w:t xml:space="preserve">Potrivit art. 28 alin. (1) lit. a) din Legea nr. 360/2002, polițistul are dreptul la salariu lunar, potrivit legii. Salariul datorat este un bun în sensul art. 44 din Constituție, care garantează dreptul de proprietate, și al art. 1 din Protocolul nr. 1 la Convenția europeană a drepturilor omului, potrivit căruia orice persoană are dreptul la respectarea bunurilor sale. Nimeni nu dispune de acest bun fără voia titularului, în afara cazurilor anume prevăzute de lege.</w:t>
      </w:r>
    </w:p>
    <w:p>
      <w:pPr>
        <w:pStyle w:val="BodyText"/>
      </w:pPr>
      <w:r>
        <w:rPr>
          <w:b/>
          <w:bCs/>
        </w:rPr>
        <w:t xml:space="preserve">2. Reținerile din salariu sunt permise numai în cazurile prevăzute de lege.</w:t>
      </w:r>
      <w:r>
        <w:t xml:space="preserve"> </w:t>
      </w:r>
      <w:r>
        <w:t xml:space="preserve">Art. 169 alin. (1) din Codul muncii prevede că „nicio reținere din salariu nu poate fi operată, în afara cazurilor și condițiilor prevăzute de lege”. Codul muncii se aplică și raporturilor reglementate prin legi speciale, în măsura în care acestea nu conțin dispoziții derogatorii (art. 1 alin. (2) din Codul muncii), iar Legea nr. 360/2002 nu conține nicio dispoziție derogatorie privind reținerile din salariu.</w:t>
      </w:r>
    </w:p>
    <w:p>
      <w:pPr>
        <w:pStyle w:val="BodyText"/>
      </w:pPr>
      <w:r>
        <w:t xml:space="preserve">Aceeași regulă rezultă din Convenția Organizației Internaționale a Muncii nr. 95/1949 privind protecția salariului, ratificată de România și în vigoare. Art. 6 din Convenție interzice angajatorului să limiteze în vreun fel libertatea lucrătorului de a dispune de salariul său, iar art. 8 permite reținerile numai în condițiile și limitele stabilite de legislația națională, de contractul colectiv sau de o hotărâre arbitrală. Potrivit art. 20 din Constituție, tratatele privind drepturile fundamentale au prioritate față de reglementările interne mai puțin favorabile.</w:t>
      </w:r>
    </w:p>
    <w:p>
      <w:pPr>
        <w:pStyle w:val="BodyText"/>
      </w:pPr>
      <w:r>
        <w:rPr>
          <w:b/>
          <w:bCs/>
        </w:rPr>
        <w:t xml:space="preserve">3. Cotizația către C.N.P. se reține numai cu acordul titularului salariului.</w:t>
      </w:r>
      <w:r>
        <w:t xml:space="preserve"> </w:t>
      </w:r>
      <w:r>
        <w:t xml:space="preserve">Potrivit art. 9 alin. (2) din Regulamentul de organizare și funcționare a C.N.P., aprobat prin Hotărârea Guvernului nr. 1305/2002, calitatea de membru se dobândește prin completarea adeziunii și plata cotizației. Potrivit art. 13 alin. (1) din același regulament, polițistul poate renunța oricând la calitatea de membru. Nicio normă nu permite reținerea cotizației fără acordul polițistului și nicio normă nu condiționează încetarea reținerii de o aprobare a C.N.P. Structura financiară nu are nicio atribuție în procedura de renunțare la calitatea de membru: ea execută pe statul de plată o reținere consimțită, iar din momentul în care acordul a fost retras, reținerea nu mai are temei.</w:t>
      </w:r>
    </w:p>
    <w:p>
      <w:pPr>
        <w:pStyle w:val="BodyText"/>
      </w:pPr>
      <w:r>
        <w:t xml:space="preserve">[Paragraf de păstrat doar la Varianta B, dacă refuzul s-a motivat cu lipsa aprobării C.N.P.] Motivarea refuzului, potrivit căreia retragerea trebuie mai întâi „aprobată” de C.N.P., nu are niciun suport normativ. Raporturile mele cu C.N.P. privesc calitatea de membru; raportul meu cu angajatorul privește salariul. Dreptul de a dispune de salariu nu depinde de diligențele unei terțe persoane juridice.</w:t>
      </w:r>
    </w:p>
    <w:p>
      <w:pPr>
        <w:pStyle w:val="BodyText"/>
      </w:pPr>
      <w:r>
        <w:rPr>
          <w:b/>
          <w:bCs/>
        </w:rPr>
        <w:t xml:space="preserve">4. Libertatea de asociere include libertatea de a nu face parte dintr-o asociație.</w:t>
      </w:r>
      <w:r>
        <w:t xml:space="preserve"> </w:t>
      </w:r>
      <w:r>
        <w:t xml:space="preserve">Art. 40 alin. (1) din Constituție garantează libertatea de asociere, iar art. 48 alin. (1) din Legea nr. 360/2002 prevede că polițiștii „se pot asocia”, deci asocierea este o facultate, nu o obligație. Art. 20 alin. (2) din Declarația Universală a Drepturilor Omului, la care trimite art. 20 alin. (1) din Constituție, prevede expres că nimeni nu poate fi obligat să facă parte dintr-o asociație. În același sens sunt art. 11 din Convenția europeană a drepturilor omului, interpretat de Curtea Europeană a Drepturilor Omului ca protejând și libertatea negativă de asociere (cauzele</w:t>
      </w:r>
      <w:r>
        <w:t xml:space="preserve"> </w:t>
      </w:r>
      <w:r>
        <w:rPr>
          <w:i/>
          <w:iCs/>
        </w:rPr>
        <w:t xml:space="preserve">Young, James și Webster c. Regatului Unit</w:t>
      </w:r>
      <w:r>
        <w:t xml:space="preserve">, 13 august 1981, și</w:t>
      </w:r>
      <w:r>
        <w:t xml:space="preserve"> </w:t>
      </w:r>
      <w:r>
        <w:rPr>
          <w:i/>
          <w:iCs/>
        </w:rPr>
        <w:t xml:space="preserve">Sigurður A. Sigurjónsson c. Islandei</w:t>
      </w:r>
      <w:r>
        <w:t xml:space="preserve">, 30 iunie 1993), și art. 22 din Pactul internațional cu privire la drepturile civile și politice. Reținerea în continuare a cotizației, după retragerea acordului, mă menține în fapt membru plătitor împotriva voinței mele.</w:t>
      </w:r>
    </w:p>
    <w:p>
      <w:pPr>
        <w:pStyle w:val="BodyText"/>
      </w:pPr>
      <w:r>
        <w:rPr>
          <w:b/>
          <w:bCs/>
        </w:rPr>
        <w:t xml:space="preserve">5. Faptele constituie abateri disciplinare.</w:t>
      </w:r>
      <w:r>
        <w:t xml:space="preserve"> </w:t>
      </w:r>
      <w:r>
        <w:t xml:space="preserve">Potrivit art. 4 alin. (1) din Legea nr. 360/2002, polițistul este obligat să respecte Constituția și legile țării. Refuzul de a opri o reținere lipsită de temei legal și menținerea ei lună de lună, după primirea cererii mele, constituie, în opinia mea, neglijență în îndeplinirea îndatoririlor de serviciu (art. 57 lit. b), întârziere nejustificată a soluționării lucrărilor (art. 57 lit. c), refuz nejustificat de a îndeplini o atribuție de serviciu cuprinsă în fișa postului (art. 57 lit. c¹), depășirea atribuțiilor de serviciu prin dispunerea asupra salariului meu fără temei (art. 57 lit. d) și încălcarea îndatoririlor stabilite prin lege (art. 57 lit. k).</w:t>
      </w:r>
    </w:p>
    <w:p>
      <w:pPr>
        <w:pStyle w:val="BodyText"/>
      </w:pPr>
      <w:r>
        <w:t xml:space="preserve">Cererea mea este o petiție în sensul art. 2 din Ordonanța Guvernului nr. 27/2002 și trebuia soluționată și comunicată în 30 de zile, potrivit art. 8 alin. (1) din aceeași ordonanță. Nerespectarea termenului constituie abatere disciplinară potrivit art. 15 lit. a), iar potrivit art. 4, conducătorul instituției răspunde direct de legalitatea soluțiilor și de comunicarea lor în termen.</w:t>
      </w:r>
    </w:p>
    <w:p>
      <w:pPr>
        <w:pStyle w:val="BodyText"/>
      </w:pPr>
      <w:r>
        <w:t xml:space="preserve">Îmi rezerv dreptul de a sesiza organele de urmărire penală dacă reținerea continuă după înregistrarea prezentei cereri, precum și dreptul de a cere în instanță restituirea sumelor reținute, cu dobânda legală.</w:t>
      </w:r>
    </w:p>
    <w:bookmarkEnd w:id="19"/>
    <w:bookmarkStart w:id="20" w:name="iii.-probe"/>
    <w:p>
      <w:pPr>
        <w:pStyle w:val="Heading2"/>
      </w:pPr>
      <w:r>
        <w:t xml:space="preserve">III. PROBE</w:t>
      </w:r>
    </w:p>
    <w:p>
      <w:pPr>
        <w:pStyle w:val="FirstParagraph"/>
      </w:pPr>
      <w:r>
        <w:t xml:space="preserve">Anexez: cererea nr. [ ] din [data] și dovada transmiterii ei; [răspunsul structurii financiare nr. … din …]; fluturașii de salariu pentru lunile [lunile].</w:t>
      </w:r>
    </w:p>
    <w:p>
      <w:pPr>
        <w:pStyle w:val="Semnatura"/>
      </w:pPr>
      <w:r>
        <w:t xml:space="preserve">[NUME PRENUME]</w:t>
      </w:r>
      <w:r>
        <w:br/>
      </w:r>
      <w:r>
        <w:t xml:space="preserve">[grad profesional]</w:t>
      </w:r>
    </w:p>
    <w:bookmarkEnd w:id="20"/>
    <w:sectPr>
      <w:footerReference r:id="rId9" w:type="default"/>
      <w:pgSz w:h="16838" w:w="11906"/>
      <w:pgMar w:bottom="1134" w:left="1417" w:right="1134" w:top="11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sz w:val="22"/>
      </w:rPr>
      <w:fldChar w:fldCharType="begin"/>
      <w:instrText xml:space="preserve">PAGE</w:instrText>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pPr>
      <w:spacing w:after="160" w:before="0" w:line="276" w:lineRule="auto"/>
      <w:ind w:firstLine="0"/>
      <w:jc w:val="both"/>
    </w:pPr>
    <w:rPr>
      <w:rFonts w:ascii="Times New Roman" w:cs="Times New Roman" w:eastAsia="Times New Roman" w:hAnsi="Times New Roman"/>
      <w:sz w:val="24"/>
    </w:rPr>
  </w:style>
  <w:style w:styleId="BodyText" w:type="paragraph">
    <w:name w:val="Body Text"/>
    <w:basedOn w:val="Normal"/>
    <w:link w:val="BodyTextChar"/>
    <w:pPr>
      <w:spacing w:after="160" w:before="0" w:line="276" w:lineRule="auto"/>
      <w:ind w:firstLine="0"/>
      <w:jc w:val="both"/>
    </w:pPr>
    <w:qFormat/>
    <w:rPr>
      <w:rFonts w:ascii="Times New Roman" w:cs="Times New Roman" w:eastAsia="Times New Roman" w:hAnsi="Times New Roman"/>
      <w:sz w:val="24"/>
    </w:rPr>
  </w:style>
  <w:style w:customStyle="1" w:styleId="FirstParagraph" w:type="paragraph">
    <w:name w:val="First Paragraph"/>
    <w:basedOn w:val="BodyText"/>
    <w:next w:val="BodyText"/>
    <w:qFormat/>
    <w:pPr>
      <w:spacing w:after="160" w:before="0" w:line="276" w:lineRule="auto"/>
      <w:ind w:firstLine="0"/>
      <w:jc w:val="both"/>
    </w:pPr>
    <w:rPr>
      <w:rFonts w:ascii="Times New Roman" w:cs="Times New Roman" w:eastAsia="Times New Roman" w:hAnsi="Times New Roman"/>
      <w:sz w:val="24"/>
    </w:rPr>
  </w:style>
  <w:style w:customStyle="1" w:styleId="Compact" w:type="paragraph">
    <w:name w:val="Compact"/>
    <w:basedOn w:val="BodyText"/>
    <w:qFormat/>
    <w:pPr>
      <w:spacing w:after="160" w:before="0" w:line="276" w:lineRule="auto"/>
      <w:ind w:firstLine="0"/>
      <w:jc w:val="both"/>
    </w:pPr>
    <w:rPr>
      <w:rFonts w:ascii="Times New Roman" w:cs="Times New Roman" w:eastAsia="Times New Roman" w:hAnsi="Times New Roman"/>
      <w:sz w:val="24"/>
    </w:rPr>
  </w:style>
  <w:style w:styleId="Title" w:type="paragraph">
    <w:name w:val="Title"/>
    <w:basedOn w:val="Normal"/>
    <w:next w:val="BodyText"/>
    <w:qFormat/>
    <w:pPr>
      <w:keepNext/>
      <w:keepLines/>
      <w:spacing w:after="160" w:before="240"/>
      <w:jc w:val="center"/>
    </w:pPr>
    <w:rPr>
      <w:rFonts w:ascii="Times New Roman" w:asciiTheme="majorHAnsi" w:cs="Times New Roman" w:cstheme="majorBidi" w:eastAsia="Times New Roman" w:eastAsiaTheme="majorEastAsia" w:hAnsi="Times New Roman" w:hAnsiTheme="majorHAnsi"/>
      <w:b/>
      <w:bCs/>
      <w:i w:val="0"/>
      <w:color w:val="000000"/>
      <w:sz w:val="28"/>
      <w:szCs w:val="36"/>
    </w:rPr>
  </w:style>
  <w:style w:styleId="Subtitle" w:type="paragraph">
    <w:name w:val="Subtitle"/>
    <w:basedOn w:val="Title"/>
    <w:next w:val="BodyText"/>
    <w:qFormat/>
    <w:pPr>
      <w:keepNext/>
      <w:keepLines/>
      <w:spacing w:after="240" w:before="240"/>
      <w:jc w:val="center"/>
    </w:pPr>
    <w:rPr>
      <w:rFonts w:ascii="Times New Roman" w:cs="Times New Roman" w:eastAsia="Times New Roman" w:hAnsi="Times New Roman"/>
      <w:sz w:val="24"/>
      <w:szCs w:val="30"/>
    </w:rPr>
  </w:style>
  <w:style w:customStyle="1" w:styleId="Author" w:type="paragraph">
    <w:name w:val="Author"/>
    <w:next w:val="BodyText"/>
    <w:qFormat/>
    <w:pPr>
      <w:keepNext/>
      <w:keepLines/>
      <w:jc w:val="center"/>
    </w:pPr>
    <w:rPr>
      <w:rFonts w:ascii="Times New Roman" w:cs="Times New Roman" w:eastAsia="Times New Roman" w:hAnsi="Times New Roman"/>
      <w:sz w:val="24"/>
    </w:rPr>
  </w:style>
  <w:style w:styleId="Date" w:type="paragraph">
    <w:name w:val="Date"/>
    <w:next w:val="BodyText"/>
    <w:qFormat/>
    <w:pPr>
      <w:keepNext/>
      <w:keepLines/>
      <w:jc w:val="center"/>
    </w:pPr>
    <w:rPr>
      <w:rFonts w:ascii="Times New Roman" w:cs="Times New Roman" w:eastAsia="Times New Roman" w:hAnsi="Times New Roman"/>
      <w:sz w:val="24"/>
    </w:rPr>
  </w:style>
  <w:style w:customStyle="1" w:styleId="AbstractTitle" w:type="paragraph">
    <w:name w:val="Abstract Title"/>
    <w:basedOn w:val="Normal"/>
    <w:next w:val="Abstract"/>
    <w:qFormat/>
    <w:pPr>
      <w:keepNext/>
      <w:keepLines/>
      <w:jc w:val="center"/>
      <w:spacing w:after="0" w:before="300"/>
    </w:pPr>
    <w:rPr>
      <w:sz w:val="24"/>
      <w:szCs w:val="20"/>
      <w:rFonts w:ascii="Times New Roman" w:cs="Times New Roman" w:eastAsia="Times New Roman" w:hAnsi="Times New Roman"/>
      <w:b/>
      <w:color w:val="345A8A"/>
      &gt;
    </w:rPr>
  </w:style>
  <w:style w:customStyle="1" w:styleId="Abstract" w:type="paragraph">
    <w:name w:val="Abstract"/>
    <w:basedOn w:val="Normal"/>
    <w:next w:val="BodyText"/>
    <w:qFormat/>
    <w:pPr>
      <w:keepNext/>
      <w:keepLines/>
      <w:spacing w:after="300" w:before="100"/>
    </w:pPr>
    <w:rPr>
      <w:rFonts w:ascii="Times New Roman" w:cs="Times New Roman" w:eastAsia="Times New Roman" w:hAnsi="Times New Roman"/>
      <w:sz w:val="24"/>
      <w:szCs w:val="20"/>
    </w:rPr>
  </w:style>
  <w:style w:styleId="Bibliography" w:type="paragraph">
    <w:name w:val="Bibliography"/>
    <w:basedOn w:val="Normal"/>
    <w:next w:val="Bibliography"/>
    <w:qFormat/>
    <w:pPr/>
    <w:rPr>
      <w:rFonts w:ascii="Times New Roman" w:cs="Times New Roman" w:eastAsia="Times New Roman" w:hAnsi="Times New Roman"/>
      <w:sz w:val="24"/>
    </w:rPr>
  </w:style>
  <w:style w:styleId="Heading1" w:type="paragraph">
    <w:name w:val="Heading 1"/>
    <w:basedOn w:val="Normal"/>
    <w:next w:val="BodyText"/>
    <w:uiPriority w:val="9"/>
    <w:qFormat/>
    <w:pPr>
      <w:keepNext/>
      <w:keepLines/>
      <w:spacing w:after="0" w:before="480"/>
      <w:outlineLvl w:val="0"/>
    </w:pPr>
    <w:rPr>
      <w:rFonts w:ascii="Times New Roman" w:cs="Times New Roman" w:eastAsia="Times New Roman" w:hAnsi="Times New Roman"/>
      <w:b/>
      <w:bCs/>
      <w:color w:val="000000"/>
      <w:sz w:val="24"/>
      <w:szCs w:val="32"/>
    </w:rPr>
  </w:style>
  <w:style w:styleId="Heading2" w:type="paragraph">
    <w:name w:val="Heading 2"/>
    <w:basedOn w:val="Normal"/>
    <w:next w:val="BodyText"/>
    <w:uiPriority w:val="9"/>
    <w:unhideWhenUsed/>
    <w:qFormat/>
    <w:pPr>
      <w:keepNext/>
      <w:keepLines/>
      <w:spacing w:after="0" w:before="200"/>
      <w:outlineLvl w:val="1"/>
    </w:pPr>
    <w:rPr>
      <w:rFonts w:ascii="Times New Roman" w:cs="Times New Roman" w:eastAsia="Times New Roman" w:hAnsi="Times New Roman"/>
      <w:b/>
      <w:bCs/>
      <w:color w:val="000000"/>
      <w:sz w:val="24"/>
      <w:szCs w:val="28"/>
    </w:rPr>
  </w:style>
  <w:style w:styleId="Heading3" w:type="paragraph">
    <w:name w:val="Heading 3"/>
    <w:basedOn w:val="Normal"/>
    <w:next w:val="BodyText"/>
    <w:uiPriority w:val="9"/>
    <w:unhideWhenUsed/>
    <w:qFormat/>
    <w:pPr>
      <w:keepNext/>
      <w:keepLines/>
      <w:spacing w:after="0" w:before="200"/>
      <w:outlineLvl w:val="2"/>
    </w:pPr>
    <w:rPr>
      <w:rFonts w:ascii="Times New Roman" w:cs="Times New Roman" w:eastAsia="Times New Roman" w:hAnsi="Times New Roman"/>
      <w:b/>
      <w:bCs/>
      <w:color w:val="000000"/>
      <w:sz w:val="24"/>
      <w:szCs w:val="24"/>
    </w:rPr>
  </w:style>
  <w:style w:styleId="Heading4" w:type="paragraph">
    <w:name w:val="Heading 4"/>
    <w:basedOn w:val="Normal"/>
    <w:next w:val="BodyText"/>
    <w:uiPriority w:val="9"/>
    <w:unhideWhenUsed/>
    <w:qFormat/>
    <w:pPr>
      <w:keepNext/>
      <w:keepLines/>
      <w:spacing w:after="0" w:before="200"/>
      <w:outlineLvl w:val="3"/>
    </w:pPr>
    <w:rPr>
      <w:rFonts w:ascii="Times New Roman" w:cs="Times New Roman" w:eastAsia="Times New Roman" w:hAnsi="Times New Roman"/>
      <w:i/>
      <w:bCs/>
      <w:color w:val="000000"/>
      <w:sz w:val="24"/>
      <w:szCs w:val="24"/>
    </w:rPr>
  </w:style>
  <w:style w:styleId="Heading5" w:type="paragraph">
    <w:name w:val="Heading 5"/>
    <w:basedOn w:val="Normal"/>
    <w:next w:val="BodyText"/>
    <w:uiPriority w:val="9"/>
    <w:unhideWhenUsed/>
    <w:qFormat/>
    <w:pPr>
      <w:keepNext/>
      <w:keepLines/>
      <w:spacing w:after="0" w:before="200"/>
      <w:outlineLvl w:val="4"/>
    </w:pPr>
    <w:rPr>
      <w:rFonts w:ascii="Times New Roman" w:cs="Times New Roman" w:eastAsia="Times New Roman" w:hAnsi="Times New Roman"/>
      <w:iCs/>
      <w:color w:val="000000"/>
      <w:sz w:val="24"/>
      <w:szCs w:val="24"/>
    </w:rPr>
  </w:style>
  <w:style w:styleId="Heading6" w:type="paragraph">
    <w:name w:val="Heading 6"/>
    <w:basedOn w:val="Normal"/>
    <w:next w:val="BodyText"/>
    <w:uiPriority w:val="9"/>
    <w:unhideWhenUsed/>
    <w:qFormat/>
    <w:pPr>
      <w:keepNext/>
      <w:keepLines/>
      <w:spacing w:after="0" w:before="200"/>
      <w:outlineLvl w:val="5"/>
    </w:pPr>
    <w:rPr>
      <w:rFonts w:ascii="Times New Roman" w:cs="Times New Roman" w:eastAsia="Times New Roman" w:hAnsi="Times New Roman"/>
      <w:color w:val="000000"/>
      <w:sz w:val="24"/>
      <w:szCs w:val="24"/>
    </w:rPr>
  </w:style>
  <w:style w:styleId="Heading7" w:type="paragraph">
    <w:name w:val="Heading 7"/>
    <w:basedOn w:val="Normal"/>
    <w:next w:val="BodyText"/>
    <w:uiPriority w:val="9"/>
    <w:unhideWhenUsed/>
    <w:qFormat/>
    <w:pPr>
      <w:keepNext/>
      <w:keepLines/>
      <w:spacing w:after="0" w:before="200"/>
      <w:outlineLvl w:val="6"/>
    </w:pPr>
    <w:rPr>
      <w:rFonts w:ascii="Times New Roman" w:cs="Times New Roman" w:eastAsia="Times New Roman" w:hAnsi="Times New Roman"/>
      <w:color w:val="000000"/>
      <w:sz w:val="24"/>
      <w:szCs w:val="24"/>
    </w:rPr>
  </w:style>
  <w:style w:styleId="Heading8" w:type="paragraph">
    <w:name w:val="Heading 8"/>
    <w:basedOn w:val="Normal"/>
    <w:next w:val="BodyText"/>
    <w:uiPriority w:val="9"/>
    <w:unhideWhenUsed/>
    <w:qFormat/>
    <w:pPr>
      <w:keepNext/>
      <w:keepLines/>
      <w:spacing w:after="0" w:before="200"/>
      <w:outlineLvl w:val="7"/>
    </w:pPr>
    <w:rPr>
      <w:rFonts w:ascii="Times New Roman" w:cs="Times New Roman" w:eastAsia="Times New Roman" w:hAnsi="Times New Roman"/>
      <w:color w:val="000000"/>
      <w:sz w:val="24"/>
      <w:szCs w:val="24"/>
    </w:rPr>
  </w:style>
  <w:style w:styleId="Heading9" w:type="paragraph">
    <w:name w:val="Heading 9"/>
    <w:basedOn w:val="Normal"/>
    <w:next w:val="BodyText"/>
    <w:uiPriority w:val="9"/>
    <w:unhideWhenUsed/>
    <w:qFormat/>
    <w:pPr>
      <w:keepNext/>
      <w:keepLines/>
      <w:spacing w:after="0" w:before="200"/>
      <w:outlineLvl w:val="8"/>
    </w:pPr>
    <w:rPr>
      <w:rFonts w:ascii="Times New Roman" w:cs="Times New Roman" w:eastAsia="Times New Roman" w:hAnsi="Times New Roman"/>
      <w:color w:val="000000"/>
      <w:sz w:val="24"/>
      <w:szCs w:val="24"/>
    </w:rPr>
  </w:style>
  <w:style w:styleId="BlockText" w:type="paragraph">
    <w:name w:val="Block Text"/>
    <w:basedOn w:val="BodyText"/>
    <w:next w:val="BodyText"/>
    <w:uiPriority w:val="9"/>
    <w:unhideWhenUsed/>
    <w:qFormat/>
    <w:pPr>
      <w:spacing w:after="100" w:before="100"/>
      <w:ind w:firstLine="0" w:left="480" w:right="480"/>
    </w:pPr>
    <w:rPr>
      <w:rFonts w:ascii="Times New Roman" w:cs="Times New Roman" w:eastAsia="Times New Roman" w:hAnsi="Times New Roman"/>
      <w:sz w:val="24"/>
    </w:rPr>
  </w:style>
  <w:style w:styleId="FootnoteText" w:type="paragraph">
    <w:name w:val="Footnote Text"/>
    <w:basedOn w:val="Normal"/>
    <w:next w:val="FootnoteText"/>
    <w:uiPriority w:val="9"/>
    <w:unhideWhenUsed/>
    <w:qFormat/>
    <w:rPr>
      <w:rFonts w:ascii="Times New Roman" w:cs="Times New Roman" w:eastAsia="Times New Roman" w:hAnsi="Times New Roman"/>
      <w:sz w:val="24"/>
    </w:rPr>
  </w:style>
  <w:style w:default="1" w:styleId="DefaultParagraphFont" w:type="character">
    <w:name w:val="Default Paragraph Font"/>
    <w:semiHidden/>
    <w:unhideWhenUsed/>
    <w:rPr>
      <w:rFonts w:ascii="Times New Roman" w:cs="Times New Roman" w:eastAsia="Times New Roman" w:hAnsi="Times New Roman"/>
      <w:sz w:val="24"/>
    </w:rPr>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rFonts w:ascii="Times New Roman" w:cs="Times New Roman" w:eastAsia="Times New Roman" w:hAnsi="Times New Roman"/>
      <w:b/>
      <w:sz w:val="24"/>
    </w:rPr>
  </w:style>
  <w:style w:customStyle="1" w:styleId="Definition" w:type="paragraph">
    <w:name w:val="Definition"/>
    <w:basedOn w:val="Normal"/>
    <w:rPr>
      <w:rFonts w:ascii="Times New Roman" w:cs="Times New Roman" w:eastAsia="Times New Roman" w:hAnsi="Times New Roman"/>
      <w:sz w:val="24"/>
    </w:rPr>
  </w:style>
  <w:style w:styleId="Caption" w:type="paragraph">
    <w:name w:val="Caption"/>
    <w:basedOn w:val="Normal"/>
    <w:link w:val="BodyTextChar"/>
    <w:pPr>
      <w:spacing w:after="120" w:before="0"/>
    </w:pPr>
    <w:rPr>
      <w:rFonts w:ascii="Times New Roman" w:cs="Times New Roman" w:eastAsia="Times New Roman" w:hAnsi="Times New Roman"/>
      <w:i/>
      <w:sz w:val="24"/>
    </w:rPr>
  </w:style>
  <w:style w:customStyle="1" w:styleId="TableCaption" w:type="paragraph">
    <w:name w:val="Table Caption"/>
    <w:basedOn w:val="Caption"/>
    <w:pPr>
      <w:keepNext/>
    </w:pPr>
    <w:rPr>
      <w:rFonts w:ascii="Times New Roman" w:cs="Times New Roman" w:eastAsia="Times New Roman" w:hAnsi="Times New Roman"/>
      <w:sz w:val="24"/>
    </w:rPr>
  </w:style>
  <w:style w:customStyle="1" w:styleId="ImageCaption" w:type="paragraph">
    <w:name w:val="Image Caption"/>
    <w:basedOn w:val="Caption"/>
    <w:rPr>
      <w:rFonts w:ascii="Times New Roman" w:cs="Times New Roman" w:eastAsia="Times New Roman" w:hAnsi="Times New Roman"/>
      <w:sz w:val="24"/>
    </w:rPr>
  </w:style>
  <w:style w:customStyle="1" w:styleId="Figure" w:type="paragraph">
    <w:name w:val="Figure"/>
    <w:basedOn w:val="Normal"/>
    <w:rPr>
      <w:rFonts w:ascii="Times New Roman" w:cs="Times New Roman" w:eastAsia="Times New Roman" w:hAnsi="Times New Roman"/>
      <w:sz w:val="24"/>
    </w:rPr>
  </w:style>
  <w:style w:customStyle="1" w:styleId="CaptionedFigure" w:type="paragraph">
    <w:name w:val="Captioned Figure"/>
    <w:basedOn w:val="Figure"/>
    <w:pPr>
      <w:keepNext/>
    </w:pPr>
    <w:rPr>
      <w:rFonts w:ascii="Times New Roman" w:cs="Times New Roman" w:eastAsia="Times New Roman" w:hAnsi="Times New Roman"/>
      <w:sz w:val="24"/>
    </w:rPr>
  </w:style>
  <w:style w:customStyle="1" w:styleId="BodyTextChar" w:type="character">
    <w:name w:val="Body Text Char"/>
    <w:basedOn w:val="DefaultParagraphFont"/>
    <w:link w:val="BodyText"/>
    <w:rPr>
      <w:rFonts w:ascii="Times New Roman" w:cs="Times New Roman" w:eastAsia="Times New Roman" w:hAnsi="Times New Roman"/>
      <w:sz w:val="24"/>
    </w:rPr>
  </w:style>
  <w:style w:customStyle="1" w:styleId="VerbatimChar" w:type="character">
    <w:name w:val="Verbatim Char"/>
    <w:basedOn w:val="BodyTextChar"/>
    <w:rPr>
      <w:rFonts w:ascii="Times New Roman" w:cs="Times New Roman" w:eastAsia="Times New Roman" w:hAnsi="Times New Roman"/>
      <w:sz w:val="24"/>
    </w:rPr>
  </w:style>
  <w:style w:customStyle="1" w:styleId="SectionNumber" w:type="character">
    <w:name w:val="Section Number"/>
    <w:basedOn w:val="BodyTextChar"/>
    <w:rPr>
      <w:rFonts w:ascii="Times New Roman" w:cs="Times New Roman" w:eastAsia="Times New Roman" w:hAnsi="Times New Roman"/>
      <w:sz w:val="24"/>
    </w:rPr>
  </w:style>
  <w:style w:styleId="FootnoteReference" w:type="character">
    <w:name w:val="Footnote Reference"/>
    <w:basedOn w:val="BodyTextChar"/>
    <w:rPr>
      <w:rFonts w:ascii="Times New Roman" w:cs="Times New Roman" w:eastAsia="Times New Roman" w:hAnsi="Times New Roman"/>
      <w:sz w:val="24"/>
      <w:vertAlign w:val="superscript"/>
    </w:rPr>
  </w:style>
  <w:style w:styleId="Hyperlink" w:type="character">
    <w:name w:val="Hyperlink"/>
    <w:basedOn w:val="BodyTextChar"/>
    <w:rPr>
      <w:rFonts w:ascii="Times New Roman" w:cs="Times New Roman" w:eastAsia="Times New Roman" w:hAnsi="Times New Roman"/>
      <w:color w:themeColor="accent1" w:val="4F81BD"/>
      <w:sz w:val="24"/>
    </w:rPr>
  </w:style>
  <w:style w:styleId="TOCHeading" w:type="paragraph">
    <w:name w:val="TOC Heading"/>
    <w:basedOn w:val="Heading1"/>
    <w:next w:val="BodyText"/>
    <w:uiPriority w:val="39"/>
    <w:unhideWhenUsed/>
    <w:qFormat/>
    <w:pPr>
      <w:spacing w:before="240" w:line="259" w:lineRule="auto"/>
      <w:outlineLvl w:val="9"/>
    </w:pPr>
    <w:rPr>
      <w:rFonts w:ascii="Times New Roman" w:asciiTheme="majorHAnsi" w:cs="Times New Roman" w:cstheme="majorBidi" w:eastAsia="Times New Roman" w:eastAsiaTheme="majorEastAsia" w:hAnsi="Times New Roman" w:hAnsiTheme="majorHAnsi"/>
      <w:b w:val="0"/>
      <w:bCs w:val="0"/>
      <w:color w:themeColor="accent1" w:themeShade="BF" w:val="365F91"/>
      <w:sz w:val="24"/>
    </w:rPr>
  </w:style>
  <w:style w:customStyle="1" w:styleId="Titluact" w:type="paragraph">
    <w:name w:val="Titlu act"/>
    <w:basedOn w:val="Normal"/>
    <w:pPr>
      <w:keepNext/>
      <w:keepLines/>
      <w:spacing w:after="160"/>
      <w:ind w:firstLine="0"/>
      <w:jc w:val="center"/>
    </w:pPr>
    <w:rPr>
      <w:rFonts w:ascii="Times New Roman" w:cs="Times New Roman" w:eastAsia="Times New Roman" w:hAnsi="Times New Roman"/>
      <w:b/>
      <w:sz w:val="24"/>
    </w:rPr>
  </w:style>
  <w:style w:customStyle="1" w:styleId="Destinatar" w:type="paragraph">
    <w:name w:val="Destinatar"/>
    <w:basedOn w:val="Normal"/>
    <w:pPr>
      <w:spacing w:after="160"/>
      <w:ind w:firstLine="0"/>
      <w:jc w:val="left"/>
    </w:pPr>
    <w:rPr>
      <w:rFonts w:ascii="Times New Roman" w:cs="Times New Roman" w:eastAsia="Times New Roman" w:hAnsi="Times New Roman"/>
      <w:b/>
      <w:sz w:val="24"/>
    </w:rPr>
  </w:style>
  <w:style w:customStyle="1" w:styleId="Semnatura" w:type="paragraph">
    <w:name w:val="Semnatura"/>
    <w:basedOn w:val="Normal"/>
    <w:pPr>
      <w:keepNext/>
      <w:keepLines/>
      <w:spacing w:after="160"/>
      <w:ind w:firstLine="0"/>
      <w:jc w:val="center"/>
    </w:pPr>
    <w:rPr>
      <w:rFonts w:ascii="Times New Roman" w:cs="Times New Roman" w:eastAsia="Times New Roman" w:hAnsi="Times New Roman"/>
      <w:b w:val="0"/>
      <w:sz w:val="24"/>
    </w:rPr>
  </w:style>
  <w:style w:customStyle="1" w:styleId="Dreapta" w:type="paragraph">
    <w:name w:val="Dreapta"/>
    <w:basedOn w:val="Normal"/>
    <w:pPr>
      <w:spacing w:after="160"/>
      <w:ind w:firstLine="0"/>
      <w:jc w:val="right"/>
    </w:pPr>
    <w:rPr>
      <w:rFonts w:ascii="Times New Roman" w:cs="Times New Roman" w:eastAsia="Times New Roman" w:hAnsi="Times New Roman"/>
      <w:b w:val="0"/>
      <w:sz w:val="24"/>
    </w:rPr>
  </w:style>
  <w:style w:customStyle="1" w:styleId="Blocfinal" w:type="paragraph">
    <w:name w:val="Bloc final"/>
    <w:basedOn w:val="Normal"/>
    <w:pPr>
      <w:keepNext/>
      <w:keepLines/>
      <w:spacing w:after="160"/>
      <w:ind w:firstLine="0"/>
      <w:jc w:val="both"/>
    </w:pPr>
    <w:rPr>
      <w:rFonts w:ascii="Times New Roman" w:cs="Times New Roman" w:eastAsia="Times New Roman" w:hAnsi="Times New Roman"/>
      <w:b w:val="0"/>
      <w:sz w:val="24"/>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7" Target="numbering.xml" /><Relationship Type="http://schemas.openxmlformats.org/officeDocument/2006/relationships/styles" Id="rId16" Target="styles.xml" /><Relationship Type="http://schemas.openxmlformats.org/officeDocument/2006/relationships/settings" Id="rId15" Target="settings.xml" /><Relationship Type="http://schemas.openxmlformats.org/officeDocument/2006/relationships/webSettings" Id="rId14" Target="webSettings.xml" /><Relationship Type="http://schemas.openxmlformats.org/officeDocument/2006/relationships/fontTable" Id="rId13" Target="fontTable.xml" /><Relationship Type="http://schemas.openxmlformats.org/officeDocument/2006/relationships/theme" Id="rId12" Target="theme/theme1.xml" /><Relationship Type="http://schemas.openxmlformats.org/officeDocument/2006/relationships/footnotes" Id="rId11" Target="footnotes.xml" /><Relationship Type="http://schemas.openxmlformats.org/officeDocument/2006/relationships/comments" Id="rId10" Target="comments.xml" /><Relationship Id="rId9" Target="footer1.xml" Type="http://schemas.openxmlformats.org/officeDocument/2006/relationships/footer"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2026-10-23T19:03:23Z</dcterms:created>
  <dcterms:modified xsi:type="dcterms:W3CDTF">2026-10-23T19:03:23Z</dcterms:modified>
</cp:coreProperties>
</file>

<file path=docProps/custom.xml><?xml version="1.0" encoding="utf-8"?>
<Properties xmlns="http://schemas.openxmlformats.org/officeDocument/2006/custom-properties" xmlns:vt="http://schemas.openxmlformats.org/officeDocument/2006/docPropsVTypes"/>
</file>