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9" w:type="dxa"/>
        <w:tblInd w:w="-768" w:type="dxa"/>
        <w:tblLayout w:type="fixed"/>
        <w:tblLook w:val="01E0" w:firstRow="1" w:lastRow="1" w:firstColumn="1" w:lastColumn="1" w:noHBand="0" w:noVBand="0"/>
      </w:tblPr>
      <w:tblGrid>
        <w:gridCol w:w="1236"/>
        <w:gridCol w:w="8833"/>
      </w:tblGrid>
      <w:tr w:rsidR="00AD3D1B" w:rsidRPr="00F06571" w:rsidTr="00933954">
        <w:trPr>
          <w:trHeight w:val="12384"/>
        </w:trPr>
        <w:tc>
          <w:tcPr>
            <w:tcW w:w="1236" w:type="dxa"/>
          </w:tcPr>
          <w:p w:rsidR="00AD3D1B" w:rsidRPr="00F06571" w:rsidRDefault="00AD3D1B" w:rsidP="00BA1EA8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676275" cy="6181725"/>
                  <wp:effectExtent l="19050" t="0" r="9525" b="0"/>
                  <wp:docPr id="7" name="Picture 1" descr="antet-BI_-2009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-BI_-2009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8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3" w:type="dxa"/>
          </w:tcPr>
          <w:p w:rsidR="00AD3D1B" w:rsidRPr="00906437" w:rsidRDefault="00AD3D1B" w:rsidP="00906437">
            <w:pPr>
              <w:ind w:firstLine="708"/>
              <w:jc w:val="center"/>
              <w:rPr>
                <w:b/>
              </w:rPr>
            </w:pPr>
            <w:r w:rsidRPr="00906437">
              <w:rPr>
                <w:b/>
              </w:rPr>
              <w:t>MINISTERUL AFACERILOR INTERNE</w:t>
            </w:r>
          </w:p>
          <w:p w:rsidR="00AD3D1B" w:rsidRPr="00906437" w:rsidRDefault="00AD3D1B" w:rsidP="00906437">
            <w:pPr>
              <w:ind w:firstLine="708"/>
              <w:jc w:val="center"/>
              <w:rPr>
                <w:b/>
              </w:rPr>
            </w:pPr>
            <w:r w:rsidRPr="00906437">
              <w:rPr>
                <w:b/>
              </w:rPr>
              <w:t>DIRECŢIA INFORMARE ŞI RELAŢII PUBLICE</w:t>
            </w:r>
          </w:p>
          <w:p w:rsidR="00AD3D1B" w:rsidRPr="00FE38EC" w:rsidRDefault="00AD3D1B" w:rsidP="00906437">
            <w:pPr>
              <w:ind w:firstLine="708"/>
              <w:jc w:val="center"/>
            </w:pPr>
            <w:r w:rsidRPr="00906437">
              <w:rPr>
                <w:b/>
              </w:rPr>
              <w:t>CENTRUL DE PRESĂ</w:t>
            </w:r>
          </w:p>
          <w:p w:rsidR="00AD3D1B" w:rsidRPr="00FE38EC" w:rsidRDefault="00E355EE" w:rsidP="00FE38EC">
            <w:pPr>
              <w:ind w:firstLine="708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129540</wp:posOffset>
                      </wp:positionV>
                      <wp:extent cx="1838325" cy="467360"/>
                      <wp:effectExtent l="0" t="0" r="127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6E38" w:rsidRPr="003046D0" w:rsidRDefault="00046E38" w:rsidP="00AD3D1B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046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Bucureşti, </w:t>
                                  </w:r>
                                  <w:r w:rsidR="00CD0408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="00F473E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.01.2017</w:t>
                                  </w:r>
                                </w:p>
                                <w:p w:rsidR="00046E38" w:rsidRPr="003046D0" w:rsidRDefault="00046E38" w:rsidP="00AD3D1B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3046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Nr. </w:t>
                                  </w:r>
                                  <w:r w:rsidR="00BC337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5027715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08.75pt;margin-top:10.2pt;width:144.7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" filled="f" stroked="f">
                      <v:textbox>
                        <w:txbxContent>
                          <w:p w:rsidR="00046E38" w:rsidRPr="003046D0" w:rsidRDefault="00046E38" w:rsidP="00AD3D1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046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Bucureşti, </w:t>
                            </w:r>
                            <w:r w:rsidR="00CD0408">
                              <w:rPr>
                                <w:b/>
                                <w:sz w:val="22"/>
                                <w:szCs w:val="22"/>
                              </w:rPr>
                              <w:t>16</w:t>
                            </w:r>
                            <w:r w:rsidR="00F473E2">
                              <w:rPr>
                                <w:b/>
                                <w:sz w:val="22"/>
                                <w:szCs w:val="22"/>
                              </w:rPr>
                              <w:t>.01.2017</w:t>
                            </w:r>
                          </w:p>
                          <w:p w:rsidR="00046E38" w:rsidRPr="003046D0" w:rsidRDefault="00046E38" w:rsidP="00AD3D1B">
                            <w:pP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046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Nr. </w:t>
                            </w:r>
                            <w:r w:rsidR="00BC337A">
                              <w:rPr>
                                <w:b/>
                                <w:sz w:val="22"/>
                                <w:szCs w:val="22"/>
                              </w:rPr>
                              <w:t>5027715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3D1B" w:rsidRPr="00FE38EC" w:rsidRDefault="00AD3D1B" w:rsidP="00FE38EC">
            <w:pPr>
              <w:tabs>
                <w:tab w:val="left" w:pos="5625"/>
              </w:tabs>
              <w:autoSpaceDE w:val="0"/>
              <w:autoSpaceDN w:val="0"/>
              <w:adjustRightInd w:val="0"/>
              <w:ind w:firstLine="708"/>
              <w:jc w:val="both"/>
            </w:pPr>
            <w:r w:rsidRPr="00FE38EC">
              <w:t xml:space="preserve"> </w:t>
            </w:r>
          </w:p>
          <w:p w:rsidR="00AD3D1B" w:rsidRPr="00FE38EC" w:rsidRDefault="00AD3D1B" w:rsidP="00FE38EC">
            <w:pPr>
              <w:ind w:firstLine="708"/>
              <w:jc w:val="both"/>
            </w:pPr>
          </w:p>
          <w:p w:rsidR="00AD3D1B" w:rsidRDefault="00AD3D1B" w:rsidP="00FE38EC">
            <w:pPr>
              <w:ind w:firstLine="708"/>
              <w:jc w:val="both"/>
            </w:pPr>
          </w:p>
          <w:p w:rsidR="00943BC9" w:rsidRPr="00FE38EC" w:rsidRDefault="00943BC9" w:rsidP="00FE38EC">
            <w:pPr>
              <w:ind w:firstLine="708"/>
              <w:jc w:val="both"/>
            </w:pPr>
          </w:p>
          <w:p w:rsidR="00AD3D1B" w:rsidRPr="00F473E2" w:rsidRDefault="00AD3D1B" w:rsidP="00FE38EC">
            <w:pPr>
              <w:ind w:firstLine="708"/>
              <w:jc w:val="both"/>
              <w:rPr>
                <w:sz w:val="28"/>
                <w:szCs w:val="28"/>
              </w:rPr>
            </w:pPr>
            <w:r w:rsidRPr="00F473E2">
              <w:rPr>
                <w:b/>
                <w:i/>
                <w:sz w:val="28"/>
                <w:szCs w:val="28"/>
              </w:rPr>
              <w:t xml:space="preserve">Domnului </w:t>
            </w:r>
            <w:r w:rsidR="00DD48A6" w:rsidRPr="00F473E2">
              <w:rPr>
                <w:b/>
                <w:i/>
                <w:sz w:val="28"/>
                <w:szCs w:val="28"/>
              </w:rPr>
              <w:t>Emil Păscuț</w:t>
            </w:r>
            <w:r w:rsidR="00F473E2" w:rsidRPr="00F473E2">
              <w:rPr>
                <w:b/>
                <w:i/>
                <w:sz w:val="28"/>
                <w:szCs w:val="28"/>
              </w:rPr>
              <w:t xml:space="preserve"> </w:t>
            </w:r>
            <w:r w:rsidRPr="00F473E2">
              <w:rPr>
                <w:b/>
                <w:i/>
                <w:sz w:val="28"/>
                <w:szCs w:val="28"/>
              </w:rPr>
              <w:t xml:space="preserve">- </w:t>
            </w:r>
            <w:r w:rsidR="00E74D3B">
              <w:rPr>
                <w:b/>
                <w:i/>
                <w:sz w:val="28"/>
                <w:szCs w:val="28"/>
              </w:rPr>
              <w:t>p</w:t>
            </w:r>
            <w:r w:rsidR="00DD48A6" w:rsidRPr="00F473E2">
              <w:rPr>
                <w:b/>
                <w:i/>
                <w:sz w:val="28"/>
                <w:szCs w:val="28"/>
              </w:rPr>
              <w:t>reședinte</w:t>
            </w:r>
            <w:r w:rsidR="00E74D3B">
              <w:rPr>
                <w:b/>
                <w:i/>
                <w:sz w:val="28"/>
                <w:szCs w:val="28"/>
              </w:rPr>
              <w:t>le</w:t>
            </w:r>
            <w:r w:rsidRPr="00F473E2">
              <w:rPr>
                <w:b/>
                <w:i/>
                <w:sz w:val="28"/>
                <w:szCs w:val="28"/>
              </w:rPr>
              <w:t xml:space="preserve"> SPR Diamantul </w:t>
            </w:r>
            <w:r w:rsidR="003B4F76" w:rsidRPr="00F473E2">
              <w:rPr>
                <w:sz w:val="28"/>
                <w:szCs w:val="28"/>
              </w:rPr>
              <w:t xml:space="preserve"> </w:t>
            </w:r>
          </w:p>
          <w:p w:rsidR="00496019" w:rsidRDefault="00496019" w:rsidP="00FE38EC">
            <w:pPr>
              <w:spacing w:line="276" w:lineRule="auto"/>
              <w:ind w:firstLine="708"/>
              <w:jc w:val="both"/>
            </w:pPr>
          </w:p>
          <w:p w:rsidR="00CA4E1C" w:rsidRDefault="00CA4E1C" w:rsidP="000F0A77">
            <w:pPr>
              <w:jc w:val="both"/>
              <w:rPr>
                <w:sz w:val="28"/>
                <w:szCs w:val="28"/>
              </w:rPr>
            </w:pPr>
            <w:r w:rsidRPr="00F473E2">
              <w:rPr>
                <w:sz w:val="28"/>
                <w:szCs w:val="28"/>
              </w:rPr>
              <w:t xml:space="preserve">În legătură cu cererea dumneavoastră, înregistrată la Direcţia Informare şi Relaţii Publice cu numărul de mai sus, vă </w:t>
            </w:r>
            <w:r w:rsidR="000F0A77">
              <w:rPr>
                <w:sz w:val="28"/>
                <w:szCs w:val="28"/>
              </w:rPr>
              <w:t>punem la disoziţie punctul de vedere al structurii de specialitate din cadrul Aparatului Central al MAI, după cum urmează</w:t>
            </w:r>
            <w:r w:rsidRPr="00F473E2">
              <w:rPr>
                <w:sz w:val="28"/>
                <w:szCs w:val="28"/>
              </w:rPr>
              <w:t>:</w:t>
            </w:r>
          </w:p>
          <w:p w:rsidR="00E84254" w:rsidRDefault="00E84254" w:rsidP="00CA4E1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EE7981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Conform art. 7 alin. (1) din Legea-cadru nr. 284/2010 </w:t>
            </w:r>
            <w:r w:rsidRPr="005B3464">
              <w:rPr>
                <w:i/>
                <w:sz w:val="28"/>
                <w:szCs w:val="28"/>
              </w:rPr>
              <w:t>privind salarizarea unitară a personalului plătit din fonduri publice</w:t>
            </w:r>
            <w:r>
              <w:rPr>
                <w:sz w:val="28"/>
                <w:szCs w:val="28"/>
              </w:rPr>
              <w:t>, cu modificările şi completările ulterioare, "</w:t>
            </w:r>
            <w:r w:rsidRPr="008D5097">
              <w:rPr>
                <w:b/>
                <w:sz w:val="28"/>
                <w:szCs w:val="28"/>
              </w:rPr>
              <w:t>aplicarea prevederilor prezentei legi se realizează etapizat</w:t>
            </w:r>
            <w:r w:rsidRPr="00DB0771">
              <w:rPr>
                <w:sz w:val="28"/>
                <w:szCs w:val="28"/>
              </w:rPr>
              <w:t xml:space="preserve">, prin modificarea succesivă, după caz, a salariilor de bază, soldelor funcţiilor de bază/salariilor funcţiilor de bază şi a indemnizaţiilor lunare de încadrare, </w:t>
            </w:r>
            <w:r w:rsidRPr="008D5097">
              <w:rPr>
                <w:b/>
                <w:sz w:val="28"/>
                <w:szCs w:val="28"/>
              </w:rPr>
              <w:t>prin legi speciale anuale de aplicare</w:t>
            </w:r>
            <w:r>
              <w:rPr>
                <w:sz w:val="28"/>
                <w:szCs w:val="28"/>
              </w:rPr>
              <w:t>"</w:t>
            </w:r>
            <w:r w:rsidRPr="00DB0771">
              <w:rPr>
                <w:sz w:val="28"/>
                <w:szCs w:val="28"/>
              </w:rPr>
              <w:t>.</w:t>
            </w:r>
          </w:p>
          <w:p w:rsidR="00EE7981" w:rsidRPr="00872E44" w:rsidRDefault="00EE7981" w:rsidP="00EE7981">
            <w:pPr>
              <w:jc w:val="both"/>
              <w:rPr>
                <w:sz w:val="16"/>
                <w:szCs w:val="16"/>
              </w:rPr>
            </w:pPr>
          </w:p>
          <w:p w:rsidR="00EE7981" w:rsidRPr="008D5097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Totodată, la art. 7 alin. (2) din Legea-cadru nr. 284/2010, cu modificările şi completările ulterioare, "</w:t>
            </w:r>
            <w:r w:rsidRPr="008D5097">
              <w:rPr>
                <w:b/>
                <w:sz w:val="28"/>
                <w:szCs w:val="28"/>
              </w:rPr>
              <w:t>valoarea salariilor de bază, soldelor funcţiilor de bază/salariilor funcţiilor de bază</w:t>
            </w:r>
            <w:r w:rsidRPr="008D5097">
              <w:rPr>
                <w:sz w:val="28"/>
                <w:szCs w:val="28"/>
              </w:rPr>
              <w:t xml:space="preserve"> şi a indemnizaţiilor lunare de încadrare utilizată la reîncadrarea pe funcţii a personalului în anul 2011 </w:t>
            </w:r>
            <w:r w:rsidRPr="008D5097">
              <w:rPr>
                <w:b/>
                <w:sz w:val="28"/>
                <w:szCs w:val="28"/>
              </w:rPr>
              <w:t>se stabileşte prin legea privind salarizarea în anul 2011 a personalului plătit din fonduri publice</w:t>
            </w:r>
            <w:r>
              <w:rPr>
                <w:sz w:val="28"/>
                <w:szCs w:val="28"/>
              </w:rPr>
              <w:t>".</w:t>
            </w:r>
          </w:p>
          <w:p w:rsidR="00EE7981" w:rsidRPr="008D5097" w:rsidRDefault="00EE7981" w:rsidP="00EE7981">
            <w:pPr>
              <w:jc w:val="both"/>
              <w:rPr>
                <w:sz w:val="16"/>
                <w:szCs w:val="16"/>
              </w:rPr>
            </w:pPr>
          </w:p>
          <w:p w:rsidR="00EE7981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Potrivit art. 10 alin. (1) din Legea-cadru nr. 284/2010, cu modificările şi completările ulterioare, "s</w:t>
            </w:r>
            <w:r w:rsidRPr="005B3464">
              <w:rPr>
                <w:sz w:val="28"/>
                <w:szCs w:val="28"/>
              </w:rPr>
              <w:t xml:space="preserve">alariile de bază, </w:t>
            </w:r>
            <w:r w:rsidRPr="005B3464">
              <w:rPr>
                <w:b/>
                <w:sz w:val="28"/>
                <w:szCs w:val="28"/>
              </w:rPr>
              <w:t>soldele/salariile de funcţie</w:t>
            </w:r>
            <w:r w:rsidRPr="005B3464">
              <w:rPr>
                <w:sz w:val="28"/>
                <w:szCs w:val="28"/>
              </w:rPr>
              <w:t xml:space="preserve"> şi indemnizaţiile lunare de încadrare se stabilesc prin înmulţirea coeficienţilor de ierarhizare corespunzători claselor de salarizare cu </w:t>
            </w:r>
            <w:r w:rsidRPr="008D5097">
              <w:rPr>
                <w:b/>
                <w:sz w:val="28"/>
                <w:szCs w:val="28"/>
              </w:rPr>
              <w:t>valoarea de referinţă</w:t>
            </w:r>
            <w:r w:rsidRPr="005B3464">
              <w:rPr>
                <w:sz w:val="28"/>
                <w:szCs w:val="28"/>
              </w:rPr>
              <w:t>, rotunjindu-se din leu în leu în favoarea salariatului</w:t>
            </w:r>
            <w:r>
              <w:rPr>
                <w:sz w:val="28"/>
                <w:szCs w:val="28"/>
              </w:rPr>
              <w:t>"</w:t>
            </w:r>
            <w:r w:rsidRPr="005B3464">
              <w:rPr>
                <w:sz w:val="28"/>
                <w:szCs w:val="28"/>
              </w:rPr>
              <w:t>.</w:t>
            </w:r>
          </w:p>
          <w:p w:rsidR="00EE7981" w:rsidRPr="005B3464" w:rsidRDefault="00EE7981" w:rsidP="00EE7981">
            <w:pPr>
              <w:jc w:val="both"/>
              <w:rPr>
                <w:sz w:val="16"/>
                <w:szCs w:val="16"/>
              </w:rPr>
            </w:pPr>
          </w:p>
          <w:p w:rsidR="00EE7981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data intrării în vigoare a legii-cadru menţionate</w:t>
            </w:r>
            <w:r w:rsidRPr="000D4793">
              <w:rPr>
                <w:sz w:val="28"/>
                <w:szCs w:val="28"/>
              </w:rPr>
              <w:t xml:space="preserve">, valoarea de referinţă </w:t>
            </w:r>
            <w:r>
              <w:rPr>
                <w:sz w:val="28"/>
                <w:szCs w:val="28"/>
              </w:rPr>
              <w:t>era</w:t>
            </w:r>
            <w:r w:rsidRPr="000D4793">
              <w:rPr>
                <w:sz w:val="28"/>
                <w:szCs w:val="28"/>
              </w:rPr>
              <w:t xml:space="preserve"> de 600 lei</w:t>
            </w:r>
            <w:r>
              <w:rPr>
                <w:sz w:val="28"/>
                <w:szCs w:val="28"/>
              </w:rPr>
              <w:t>, astfel cum este prevăzut la art. 10 alin. (4) din aceeaşi lege-cadru.</w:t>
            </w:r>
          </w:p>
          <w:p w:rsidR="00EE7981" w:rsidRPr="000D4793" w:rsidRDefault="00EE7981" w:rsidP="00EE7981">
            <w:pPr>
              <w:jc w:val="center"/>
              <w:rPr>
                <w:sz w:val="16"/>
                <w:szCs w:val="16"/>
              </w:rPr>
            </w:pPr>
          </w:p>
          <w:p w:rsidR="00EE7981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Totuşi, în conformitate cu prevederile art. 1 alin. (1) din Ordonanţa de urgenţă a Guvernului nr. 99/2016 </w:t>
            </w:r>
            <w:r w:rsidRPr="00052D49">
              <w:rPr>
                <w:i/>
                <w:sz w:val="28"/>
                <w:szCs w:val="28"/>
              </w:rPr>
              <w:t>privind unele măsuri pentru salarizarea personalului plătit din fonduri publice, prorogarea unor termene, precum şi unele măsuri fiscal-bugetare</w:t>
            </w:r>
            <w:r>
              <w:rPr>
                <w:sz w:val="28"/>
                <w:szCs w:val="28"/>
              </w:rPr>
              <w:t>, "</w:t>
            </w:r>
            <w:r w:rsidRPr="00052D49">
              <w:rPr>
                <w:b/>
                <w:sz w:val="28"/>
                <w:szCs w:val="28"/>
              </w:rPr>
              <w:t>în perioada 1 ianuarie-28 februarie 2017</w:t>
            </w:r>
            <w:r w:rsidRPr="00052D49">
              <w:rPr>
                <w:sz w:val="28"/>
                <w:szCs w:val="28"/>
              </w:rPr>
              <w:t xml:space="preserve">, cuantumul brut al salariilor de bază/soldelor funcţiei de bază/salariilor funcţiei de bază/indemnizaţiilor de încadrare lunară de care beneficiază personalul plătit din fonduri publice </w:t>
            </w:r>
            <w:r w:rsidRPr="00052D49">
              <w:rPr>
                <w:b/>
                <w:sz w:val="28"/>
                <w:szCs w:val="28"/>
              </w:rPr>
              <w:t>se menţine la acelaşi nivel cu cel ce se acordă pentru luna decembrie 2016</w:t>
            </w:r>
            <w:r w:rsidRPr="00052D49">
              <w:rPr>
                <w:sz w:val="28"/>
                <w:szCs w:val="28"/>
              </w:rPr>
              <w:t xml:space="preserve"> în măsura în </w:t>
            </w:r>
            <w:r>
              <w:rPr>
                <w:sz w:val="28"/>
                <w:szCs w:val="28"/>
              </w:rPr>
              <w:t xml:space="preserve"> </w:t>
            </w:r>
            <w:r w:rsidRPr="00052D49">
              <w:rPr>
                <w:sz w:val="28"/>
                <w:szCs w:val="28"/>
              </w:rPr>
              <w:t xml:space="preserve">care </w:t>
            </w:r>
            <w:r>
              <w:rPr>
                <w:sz w:val="28"/>
                <w:szCs w:val="28"/>
              </w:rPr>
              <w:t xml:space="preserve"> </w:t>
            </w:r>
            <w:r w:rsidRPr="00052D49">
              <w:rPr>
                <w:sz w:val="28"/>
                <w:szCs w:val="28"/>
              </w:rPr>
              <w:t>personalul</w:t>
            </w:r>
            <w:r w:rsidR="00E84254">
              <w:rPr>
                <w:sz w:val="28"/>
                <w:szCs w:val="28"/>
              </w:rPr>
              <w:t xml:space="preserve"> </w:t>
            </w:r>
            <w:r w:rsidRPr="00052D49">
              <w:rPr>
                <w:sz w:val="28"/>
                <w:szCs w:val="28"/>
              </w:rPr>
              <w:t>îşi desfăşoară activitatea în aceleaşi condiţii şi nu se aplică valoarea de referinţă şi coeficienţii de ierarhizare corespunzători claselor de salarizare prevăzuţi în anexele la Legea-cadru nr. 284/2010 privind salarizarea unitară a personalului plătit din fonduri publice, cu modificările şi completările ulterioare</w:t>
            </w:r>
            <w:r>
              <w:rPr>
                <w:sz w:val="28"/>
                <w:szCs w:val="28"/>
              </w:rPr>
              <w:t>".</w:t>
            </w:r>
          </w:p>
          <w:p w:rsidR="00EE7981" w:rsidRPr="00AA5507" w:rsidRDefault="00EE7981" w:rsidP="00EE7981">
            <w:pPr>
              <w:jc w:val="both"/>
              <w:rPr>
                <w:sz w:val="16"/>
                <w:szCs w:val="16"/>
              </w:rPr>
            </w:pPr>
          </w:p>
          <w:p w:rsidR="00EE7981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Această măsură referitoare la </w:t>
            </w:r>
            <w:r w:rsidRPr="00052D49">
              <w:rPr>
                <w:sz w:val="28"/>
                <w:szCs w:val="28"/>
              </w:rPr>
              <w:t xml:space="preserve">valoarea de referinţă şi coeficienţii de </w:t>
            </w:r>
            <w:r w:rsidRPr="00052D49">
              <w:rPr>
                <w:sz w:val="28"/>
                <w:szCs w:val="28"/>
              </w:rPr>
              <w:lastRenderedPageBreak/>
              <w:t>ierarhizare corespunzători claselor de salarizare prevăzuţi în anexele la Legea-cadru nr. 284/2010</w:t>
            </w:r>
            <w:r>
              <w:rPr>
                <w:sz w:val="28"/>
                <w:szCs w:val="28"/>
              </w:rPr>
              <w:t xml:space="preserve"> se regăseşte reglementată în mod similar şi pentru perioada 2011-2016 prin legile speciale anuale de aplicare etapizată a legii-cadru.</w:t>
            </w:r>
          </w:p>
          <w:p w:rsidR="00EE7981" w:rsidRPr="00C21F76" w:rsidRDefault="00EE7981" w:rsidP="00EE7981">
            <w:pPr>
              <w:jc w:val="both"/>
              <w:rPr>
                <w:sz w:val="16"/>
                <w:szCs w:val="16"/>
              </w:rPr>
            </w:pPr>
          </w:p>
          <w:p w:rsidR="00EE7981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În acest sens, menţionăm art. 4 alin. (2) din Legea nr. 285/2010 </w:t>
            </w:r>
            <w:r w:rsidRPr="00A7778A">
              <w:rPr>
                <w:i/>
                <w:sz w:val="28"/>
                <w:szCs w:val="28"/>
              </w:rPr>
              <w:t>privind salarizarea în anul 2011 a personalului plătit din fonduri publice</w:t>
            </w:r>
            <w:r>
              <w:rPr>
                <w:sz w:val="28"/>
                <w:szCs w:val="28"/>
              </w:rPr>
              <w:t xml:space="preserve">, pct. 2 al articolului unic din Legea nr. 283/2011 </w:t>
            </w:r>
            <w:r w:rsidRPr="00A7778A">
              <w:rPr>
                <w:i/>
                <w:sz w:val="28"/>
                <w:szCs w:val="28"/>
              </w:rPr>
              <w:t>privind aprobarea Ord</w:t>
            </w:r>
            <w:r w:rsidR="00E84254">
              <w:rPr>
                <w:i/>
                <w:sz w:val="28"/>
                <w:szCs w:val="28"/>
              </w:rPr>
              <w:t>onanţei de urgenţă a Guvernului</w:t>
            </w:r>
            <w:r w:rsidRPr="00A7778A">
              <w:rPr>
                <w:i/>
                <w:sz w:val="28"/>
                <w:szCs w:val="28"/>
              </w:rPr>
              <w:t xml:space="preserve">nr. 80/2010 pentru completarea art. 11 din Ordonanţa de urgenţă a Guvernului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84254">
              <w:rPr>
                <w:i/>
                <w:sz w:val="28"/>
                <w:szCs w:val="28"/>
              </w:rPr>
              <w:t>n</w:t>
            </w:r>
            <w:r w:rsidRPr="00A7778A">
              <w:rPr>
                <w:i/>
                <w:sz w:val="28"/>
                <w:szCs w:val="28"/>
              </w:rPr>
              <w:t>r. 37/2008 privind reglementarea unor măsuri financiare în domeniul bugetar</w:t>
            </w:r>
            <w:r>
              <w:rPr>
                <w:sz w:val="28"/>
                <w:szCs w:val="28"/>
              </w:rPr>
              <w:t xml:space="preserve">, art. 2 din Ordonanţa de urgenţă a Guvernului nr. 84/2012 </w:t>
            </w:r>
            <w:r w:rsidRPr="005D4154">
              <w:rPr>
                <w:i/>
                <w:sz w:val="28"/>
                <w:szCs w:val="28"/>
              </w:rPr>
              <w:t>privind stabilirea salariilor personalului din sectorul bugetar în anul 2013, prorogarea unor termene din acte normative, precum şi unele măsuri fiscal-bugetare</w:t>
            </w:r>
            <w:r>
              <w:rPr>
                <w:sz w:val="28"/>
                <w:szCs w:val="28"/>
              </w:rPr>
              <w:t xml:space="preserve">, art. 1 alin. (1) din Ordonanţa de urgenţă a Guvernului nr. 103/2013 </w:t>
            </w:r>
            <w:r w:rsidRPr="005D4154">
              <w:rPr>
                <w:i/>
                <w:sz w:val="28"/>
                <w:szCs w:val="28"/>
              </w:rPr>
              <w:t>privind salarizarea personalului plătit din fonduri publice în anul 2014, precum şi alte măsuri în domeniul cheltuielilor publice</w:t>
            </w:r>
            <w:r>
              <w:rPr>
                <w:sz w:val="28"/>
                <w:szCs w:val="28"/>
              </w:rPr>
              <w:t xml:space="preserve">, art. 1 alin. (1) din Ordonanţa de urgenţă a Guvernului nr. 83/2014 </w:t>
            </w:r>
            <w:r w:rsidRPr="005D4154">
              <w:rPr>
                <w:i/>
                <w:sz w:val="28"/>
                <w:szCs w:val="28"/>
              </w:rPr>
              <w:t>privind salarizarea personalului plătit din fonduri publice în anul 2015, precum şi alte măsuri în domeniul cheltuielilor publice</w:t>
            </w:r>
            <w:r>
              <w:rPr>
                <w:sz w:val="28"/>
                <w:szCs w:val="28"/>
              </w:rPr>
              <w:t xml:space="preserve"> şi art. 1 alin. (1) din Ordonanţa de urgenţă a Guvernului nr. 57/2015 </w:t>
            </w:r>
            <w:r w:rsidRPr="005D4154">
              <w:rPr>
                <w:i/>
                <w:sz w:val="28"/>
                <w:szCs w:val="28"/>
              </w:rPr>
              <w:t>privind salarizarea personalului plătit din fonduri publice în anul 2016, prorogarea unor termene, precum şi unele măsuri fiscal-bugetare</w:t>
            </w:r>
            <w:r>
              <w:rPr>
                <w:sz w:val="28"/>
                <w:szCs w:val="28"/>
              </w:rPr>
              <w:t>.</w:t>
            </w:r>
          </w:p>
          <w:p w:rsidR="00EE7981" w:rsidRPr="005D4154" w:rsidRDefault="00EE7981" w:rsidP="00EE7981">
            <w:pPr>
              <w:jc w:val="both"/>
              <w:rPr>
                <w:sz w:val="16"/>
                <w:szCs w:val="16"/>
              </w:rPr>
            </w:pPr>
          </w:p>
          <w:p w:rsidR="00EE7981" w:rsidRPr="00525A33" w:rsidRDefault="00EE7981" w:rsidP="00EE79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În acest context, î</w:t>
            </w:r>
            <w:r w:rsidRPr="00525A33">
              <w:rPr>
                <w:bCs/>
                <w:sz w:val="28"/>
                <w:szCs w:val="28"/>
              </w:rPr>
              <w:t>ntregul proces de salarizare aplicabil</w:t>
            </w:r>
            <w:r>
              <w:rPr>
                <w:bCs/>
                <w:sz w:val="28"/>
                <w:szCs w:val="28"/>
              </w:rPr>
              <w:t xml:space="preserve"> după data de 01.01.2010</w:t>
            </w:r>
            <w:r w:rsidRPr="00525A33">
              <w:rPr>
                <w:bCs/>
                <w:sz w:val="28"/>
                <w:szCs w:val="28"/>
              </w:rPr>
              <w:t xml:space="preserve"> la nivelul instituţiilor publice din sistemul de apărare, ordine publică şi securitate naţională, potrivit legilor-cadru privind salarizarea unitară a personalului plătit din fonduri publice (Legea nr. 330/2009; Legea nr. 284/2010) şi a legilor anuale speciale de aplicare a legilor-cadru (Ordonanţa de urgenţă a Guvernului nr. 1/2010; Legea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25A33">
              <w:rPr>
                <w:bCs/>
                <w:sz w:val="28"/>
                <w:szCs w:val="28"/>
              </w:rPr>
              <w:t>nr. 285/2010; Legea nr. 283/2011; Ordonanţa de urgenţă a Guvernului nr. 84/2012; Ordonanţa de urgenţă a Guvernului nr. 103/2013; Ordonanţa de urgenţă a Guvernului nr. 83/2014</w:t>
            </w:r>
            <w:r>
              <w:rPr>
                <w:bCs/>
                <w:sz w:val="28"/>
                <w:szCs w:val="28"/>
              </w:rPr>
              <w:t xml:space="preserve">; </w:t>
            </w:r>
            <w:r w:rsidRPr="00525A33">
              <w:rPr>
                <w:bCs/>
                <w:sz w:val="28"/>
                <w:szCs w:val="28"/>
              </w:rPr>
              <w:t xml:space="preserve">Ordonanţa de urgenţă a Guvernului nr. </w:t>
            </w:r>
            <w:r>
              <w:rPr>
                <w:bCs/>
                <w:sz w:val="28"/>
                <w:szCs w:val="28"/>
              </w:rPr>
              <w:t>57/2015</w:t>
            </w:r>
            <w:r w:rsidRPr="00525A33">
              <w:rPr>
                <w:bCs/>
                <w:sz w:val="28"/>
                <w:szCs w:val="28"/>
              </w:rPr>
              <w:t xml:space="preserve">), reprezintă în fapt </w:t>
            </w:r>
            <w:r w:rsidRPr="00525A33">
              <w:rPr>
                <w:b/>
                <w:bCs/>
                <w:sz w:val="28"/>
                <w:szCs w:val="28"/>
              </w:rPr>
              <w:t xml:space="preserve">o </w:t>
            </w:r>
            <w:r w:rsidRPr="007D6A3D">
              <w:rPr>
                <w:b/>
                <w:bCs/>
                <w:sz w:val="28"/>
                <w:szCs w:val="28"/>
                <w:u w:val="single"/>
              </w:rPr>
              <w:t>reconstrucţie salarială</w:t>
            </w:r>
            <w:r w:rsidRPr="00525A33">
              <w:rPr>
                <w:b/>
                <w:bCs/>
                <w:sz w:val="28"/>
                <w:szCs w:val="28"/>
              </w:rPr>
              <w:t xml:space="preserve"> a unor cuantumuri ale elementelor salariale (sporuri, prime, etc.) de care personalul a beneficiat la un moment dat (31 decembrie 2009)</w:t>
            </w:r>
            <w:r w:rsidRPr="00525A33">
              <w:rPr>
                <w:bCs/>
                <w:sz w:val="28"/>
                <w:szCs w:val="28"/>
              </w:rPr>
              <w:t>.</w:t>
            </w:r>
          </w:p>
          <w:p w:rsidR="00EE7981" w:rsidRPr="00E36271" w:rsidRDefault="00EE7981" w:rsidP="00EE7981">
            <w:pPr>
              <w:jc w:val="both"/>
              <w:rPr>
                <w:bCs/>
                <w:sz w:val="16"/>
                <w:szCs w:val="16"/>
              </w:rPr>
            </w:pPr>
          </w:p>
          <w:p w:rsidR="00EE7981" w:rsidRDefault="00EE7981" w:rsidP="00EE7981">
            <w:pPr>
              <w:jc w:val="both"/>
              <w:rPr>
                <w:bCs/>
                <w:sz w:val="28"/>
                <w:szCs w:val="28"/>
              </w:rPr>
            </w:pPr>
            <w:r w:rsidRPr="00525A33">
              <w:rPr>
                <w:bCs/>
                <w:sz w:val="28"/>
                <w:szCs w:val="28"/>
              </w:rPr>
              <w:t xml:space="preserve">În consecinţă, </w:t>
            </w:r>
            <w:r>
              <w:rPr>
                <w:b/>
                <w:bCs/>
                <w:sz w:val="28"/>
                <w:szCs w:val="28"/>
              </w:rPr>
              <w:t>salariul de funcţie actual</w:t>
            </w:r>
            <w:r w:rsidRPr="00525A3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pentru poliţişti</w:t>
            </w:r>
            <w:r w:rsidRPr="00525A33">
              <w:rPr>
                <w:bCs/>
                <w:sz w:val="28"/>
                <w:szCs w:val="28"/>
              </w:rPr>
              <w:t xml:space="preserve"> reprezintă în plan practic </w:t>
            </w:r>
            <w:r w:rsidRPr="00525A33">
              <w:rPr>
                <w:b/>
                <w:bCs/>
                <w:sz w:val="28"/>
                <w:szCs w:val="28"/>
              </w:rPr>
              <w:t>o sumă a cuantumurilor unor elemente salariale avute la 31 decembrie 2009</w:t>
            </w:r>
            <w:r w:rsidRPr="00525A33">
              <w:rPr>
                <w:bCs/>
                <w:sz w:val="28"/>
                <w:szCs w:val="28"/>
              </w:rPr>
              <w:t xml:space="preserve"> (cuantumul </w:t>
            </w:r>
            <w:r>
              <w:rPr>
                <w:bCs/>
                <w:sz w:val="28"/>
                <w:szCs w:val="28"/>
              </w:rPr>
              <w:t>salariului</w:t>
            </w:r>
            <w:r w:rsidRPr="00525A33">
              <w:rPr>
                <w:bCs/>
                <w:sz w:val="28"/>
                <w:szCs w:val="28"/>
              </w:rPr>
              <w:t xml:space="preserve"> funcţie</w:t>
            </w:r>
            <w:r>
              <w:rPr>
                <w:bCs/>
                <w:sz w:val="28"/>
                <w:szCs w:val="28"/>
              </w:rPr>
              <w:t>i îndeplinite</w:t>
            </w:r>
            <w:r w:rsidRPr="00525A33">
              <w:rPr>
                <w:bCs/>
                <w:sz w:val="28"/>
                <w:szCs w:val="28"/>
              </w:rPr>
              <w:t xml:space="preserve">, cuantumul </w:t>
            </w:r>
            <w:r>
              <w:rPr>
                <w:bCs/>
                <w:sz w:val="28"/>
                <w:szCs w:val="28"/>
              </w:rPr>
              <w:t>sporului pentru misiune permanentă</w:t>
            </w:r>
            <w:r w:rsidRPr="00525A33">
              <w:rPr>
                <w:bCs/>
                <w:sz w:val="28"/>
                <w:szCs w:val="28"/>
              </w:rPr>
              <w:t xml:space="preserve">, cuantumul sporului pentru păstrarea confidenţialităţii în legătură cu informaţiile clasificate, cuantumul salariului de merit şi </w:t>
            </w:r>
            <w:r w:rsidRPr="00B65DFB">
              <w:rPr>
                <w:bCs/>
                <w:sz w:val="28"/>
                <w:szCs w:val="28"/>
              </w:rPr>
              <w:t>suma compensatorie cu caracter tranzitoriu</w:t>
            </w:r>
            <w:r w:rsidRPr="00525A33">
              <w:rPr>
                <w:b/>
                <w:bCs/>
                <w:sz w:val="28"/>
                <w:szCs w:val="28"/>
              </w:rPr>
              <w:t xml:space="preserve"> </w:t>
            </w:r>
            <w:r w:rsidRPr="00A40112">
              <w:rPr>
                <w:bCs/>
                <w:sz w:val="28"/>
                <w:szCs w:val="28"/>
              </w:rPr>
              <w:t>astfel cum era reglementată de legislaţia aplicabilă în anul 2010, prin raportare la 31.12.2009</w:t>
            </w:r>
            <w:r w:rsidRPr="00525A33">
              <w:rPr>
                <w:bCs/>
                <w:sz w:val="28"/>
                <w:szCs w:val="28"/>
              </w:rPr>
              <w:t>).</w:t>
            </w:r>
          </w:p>
          <w:p w:rsidR="00EE7981" w:rsidRPr="00C50DB7" w:rsidRDefault="00EE7981" w:rsidP="00EE7981">
            <w:pPr>
              <w:jc w:val="both"/>
              <w:rPr>
                <w:bCs/>
                <w:sz w:val="16"/>
                <w:szCs w:val="16"/>
              </w:rPr>
            </w:pPr>
          </w:p>
          <w:p w:rsidR="00EE7981" w:rsidRDefault="00EE7981" w:rsidP="00EE79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Drept urmare, </w:t>
            </w:r>
            <w:r w:rsidRPr="007C666D">
              <w:rPr>
                <w:b/>
                <w:bCs/>
                <w:sz w:val="28"/>
                <w:szCs w:val="28"/>
              </w:rPr>
              <w:t xml:space="preserve">cuantumul salariului funcţiei îndeplinite </w:t>
            </w:r>
            <w:r w:rsidRPr="007D22A4">
              <w:rPr>
                <w:b/>
                <w:bCs/>
                <w:sz w:val="28"/>
                <w:szCs w:val="28"/>
                <w:u w:val="single"/>
              </w:rPr>
              <w:t>cuprins în salariul de funcţie actual</w:t>
            </w:r>
            <w:r>
              <w:rPr>
                <w:bCs/>
                <w:sz w:val="28"/>
                <w:szCs w:val="28"/>
              </w:rPr>
              <w:t xml:space="preserve"> se determină prin raportare la nivelul prevăzut la 31.12.2009 al </w:t>
            </w:r>
            <w:r w:rsidRPr="007C666D">
              <w:rPr>
                <w:b/>
                <w:bCs/>
                <w:sz w:val="28"/>
                <w:szCs w:val="28"/>
              </w:rPr>
              <w:t xml:space="preserve">funcţiei similare echivalente celei </w:t>
            </w:r>
            <w:r>
              <w:rPr>
                <w:b/>
                <w:bCs/>
                <w:sz w:val="28"/>
                <w:szCs w:val="28"/>
              </w:rPr>
              <w:t xml:space="preserve">efectiv </w:t>
            </w:r>
            <w:r w:rsidRPr="007C666D">
              <w:rPr>
                <w:b/>
                <w:bCs/>
                <w:sz w:val="28"/>
                <w:szCs w:val="28"/>
              </w:rPr>
              <w:t>îndeplinite</w:t>
            </w:r>
            <w:r>
              <w:rPr>
                <w:bCs/>
                <w:sz w:val="28"/>
                <w:szCs w:val="28"/>
              </w:rPr>
              <w:t>, în conformitate cu prevederile legale mai sus-menţionate, utilizându-se procedeele de calcul aferente, astfel cum erau reglementate la aceeaşi dată, menţinute până în prezent.</w:t>
            </w:r>
          </w:p>
          <w:p w:rsidR="00EE7981" w:rsidRPr="00B65DFB" w:rsidRDefault="00EE7981" w:rsidP="00EE7981">
            <w:pPr>
              <w:jc w:val="both"/>
              <w:rPr>
                <w:bCs/>
                <w:sz w:val="16"/>
                <w:szCs w:val="16"/>
              </w:rPr>
            </w:pPr>
          </w:p>
          <w:p w:rsidR="00EE7981" w:rsidRPr="005D4154" w:rsidRDefault="00EE7981" w:rsidP="00EE7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Procedeele de calcul menţinute şi utilizate în prezent pentru determinarea </w:t>
            </w:r>
            <w:r w:rsidRPr="007D22A4">
              <w:rPr>
                <w:b/>
                <w:sz w:val="28"/>
                <w:szCs w:val="28"/>
              </w:rPr>
              <w:t xml:space="preserve">cuantumului salariului </w:t>
            </w:r>
            <w:r w:rsidRPr="007D22A4">
              <w:rPr>
                <w:b/>
                <w:bCs/>
                <w:sz w:val="28"/>
                <w:szCs w:val="28"/>
              </w:rPr>
              <w:t>funcţiei îndeplinite cuprins în salariul de funcţie actual</w:t>
            </w:r>
            <w:r>
              <w:rPr>
                <w:bCs/>
                <w:sz w:val="28"/>
                <w:szCs w:val="28"/>
              </w:rPr>
              <w:t xml:space="preserve"> sunt cele preluate, potrivit reconstrucţiei salariale, din legislaţia specifică prin care se reglementa la data de 31.12.2009 salarizarea poliţiştilor, regăsindu-se "valoarea de referinţă sectorială" în vigoare la data respectivă la nivelul de </w:t>
            </w:r>
            <w:r w:rsidRPr="007C666D">
              <w:rPr>
                <w:bCs/>
                <w:sz w:val="28"/>
                <w:szCs w:val="28"/>
              </w:rPr>
              <w:t>197,3387 lei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EE7981" w:rsidRDefault="00EE7981" w:rsidP="00EE7981">
            <w:pPr>
              <w:jc w:val="both"/>
              <w:rPr>
                <w:sz w:val="28"/>
                <w:szCs w:val="28"/>
              </w:rPr>
            </w:pPr>
          </w:p>
          <w:p w:rsidR="004F5399" w:rsidRPr="00F473E2" w:rsidRDefault="004F5399" w:rsidP="00FE38EC">
            <w:pPr>
              <w:pStyle w:val="Listparagraf"/>
              <w:tabs>
                <w:tab w:val="left" w:pos="0"/>
                <w:tab w:val="left" w:pos="993"/>
              </w:tabs>
              <w:ind w:left="0" w:right="163" w:firstLine="708"/>
              <w:jc w:val="both"/>
              <w:rPr>
                <w:sz w:val="28"/>
                <w:szCs w:val="28"/>
                <w:lang w:eastAsia="ro-RO"/>
              </w:rPr>
            </w:pPr>
          </w:p>
          <w:p w:rsidR="00E74D3B" w:rsidRPr="007A416E" w:rsidRDefault="00E74D3B" w:rsidP="00E74D3B">
            <w:pPr>
              <w:widowControl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A416E">
              <w:rPr>
                <w:i/>
                <w:sz w:val="28"/>
                <w:szCs w:val="28"/>
              </w:rPr>
              <w:t>Cu stimă,</w:t>
            </w:r>
          </w:p>
          <w:p w:rsidR="00E74D3B" w:rsidRPr="00F06571" w:rsidRDefault="00E74D3B" w:rsidP="00E74D3B">
            <w:pPr>
              <w:spacing w:line="276" w:lineRule="auto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Responsabil de informarea publică</w:t>
            </w:r>
          </w:p>
          <w:p w:rsidR="00E74D3B" w:rsidRDefault="00E74D3B" w:rsidP="00E74D3B">
            <w:pPr>
              <w:spacing w:line="276" w:lineRule="auto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Comisar-şef de poliţie Gabriel Mitroiu</w:t>
            </w:r>
          </w:p>
          <w:p w:rsidR="0048223A" w:rsidRDefault="00661C7B" w:rsidP="00E74D3B">
            <w:pPr>
              <w:spacing w:line="276" w:lineRule="auto"/>
              <w:rPr>
                <w:b/>
                <w:sz w:val="28"/>
                <w:szCs w:val="28"/>
              </w:rPr>
            </w:pPr>
            <w:r w:rsidRPr="009D0269">
              <w:rPr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571625" cy="587651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8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C7B" w:rsidRDefault="00661C7B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F0A77" w:rsidRDefault="000F0A77" w:rsidP="00E74D3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B5D31" w:rsidRDefault="004513EC" w:rsidP="00496019">
            <w:pPr>
              <w:shd w:val="clear" w:color="auto" w:fill="FFFFFF"/>
              <w:tabs>
                <w:tab w:val="left" w:pos="426"/>
              </w:tabs>
              <w:jc w:val="both"/>
            </w:pPr>
            <w:r w:rsidRPr="00FE38EC">
              <w:rPr>
                <w:noProof/>
                <w:lang w:val="en-US" w:eastAsia="en-US"/>
              </w:rPr>
              <w:drawing>
                <wp:inline distT="0" distB="0" distL="0" distR="0">
                  <wp:extent cx="5476875" cy="581025"/>
                  <wp:effectExtent l="19050" t="0" r="9525" b="0"/>
                  <wp:docPr id="3" name="Picture 2" descr="n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019" w:rsidRPr="00FE38EC" w:rsidRDefault="00496019" w:rsidP="00496019">
            <w:pPr>
              <w:shd w:val="clear" w:color="auto" w:fill="FFFFFF"/>
              <w:tabs>
                <w:tab w:val="left" w:pos="426"/>
              </w:tabs>
              <w:jc w:val="both"/>
            </w:pPr>
          </w:p>
        </w:tc>
      </w:tr>
    </w:tbl>
    <w:p w:rsidR="007F7F22" w:rsidRPr="00AD3D1B" w:rsidRDefault="007F7F22" w:rsidP="00933954"/>
    <w:sectPr w:rsidR="007F7F22" w:rsidRPr="00AD3D1B" w:rsidSect="005E303C">
      <w:pgSz w:w="11906" w:h="16838"/>
      <w:pgMar w:top="360" w:right="62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6C" w:rsidRDefault="00A44D6C">
      <w:r>
        <w:separator/>
      </w:r>
    </w:p>
  </w:endnote>
  <w:endnote w:type="continuationSeparator" w:id="0">
    <w:p w:rsidR="00A44D6C" w:rsidRDefault="00A4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6C" w:rsidRDefault="00A44D6C">
      <w:r>
        <w:separator/>
      </w:r>
    </w:p>
  </w:footnote>
  <w:footnote w:type="continuationSeparator" w:id="0">
    <w:p w:rsidR="00A44D6C" w:rsidRDefault="00A4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B45"/>
    <w:multiLevelType w:val="hybridMultilevel"/>
    <w:tmpl w:val="0A6889BC"/>
    <w:lvl w:ilvl="0" w:tplc="6116FFD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9E0"/>
    <w:multiLevelType w:val="hybridMultilevel"/>
    <w:tmpl w:val="D6E6E6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57648"/>
    <w:multiLevelType w:val="hybridMultilevel"/>
    <w:tmpl w:val="E9D0504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84DB3"/>
    <w:multiLevelType w:val="hybridMultilevel"/>
    <w:tmpl w:val="C548F2D2"/>
    <w:lvl w:ilvl="0" w:tplc="A2E82B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810"/>
    <w:multiLevelType w:val="hybridMultilevel"/>
    <w:tmpl w:val="4DB4608A"/>
    <w:lvl w:ilvl="0" w:tplc="3A4844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2B2F6821"/>
    <w:multiLevelType w:val="hybridMultilevel"/>
    <w:tmpl w:val="28EA0294"/>
    <w:lvl w:ilvl="0" w:tplc="D0BE9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39AC"/>
    <w:multiLevelType w:val="hybridMultilevel"/>
    <w:tmpl w:val="4FE8C8DA"/>
    <w:lvl w:ilvl="0" w:tplc="0672A06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2E536EA6"/>
    <w:multiLevelType w:val="hybridMultilevel"/>
    <w:tmpl w:val="3310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35F9D"/>
    <w:multiLevelType w:val="hybridMultilevel"/>
    <w:tmpl w:val="03D0A494"/>
    <w:lvl w:ilvl="0" w:tplc="BB62217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34316FD3"/>
    <w:multiLevelType w:val="hybridMultilevel"/>
    <w:tmpl w:val="D298B1C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8542F93"/>
    <w:multiLevelType w:val="hybridMultilevel"/>
    <w:tmpl w:val="46B8737E"/>
    <w:lvl w:ilvl="0" w:tplc="56C09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5007"/>
    <w:multiLevelType w:val="hybridMultilevel"/>
    <w:tmpl w:val="DF6E1460"/>
    <w:lvl w:ilvl="0" w:tplc="2CB45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1738"/>
    <w:multiLevelType w:val="hybridMultilevel"/>
    <w:tmpl w:val="DEA299A4"/>
    <w:lvl w:ilvl="0" w:tplc="F612B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A3EA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EA379E"/>
    <w:multiLevelType w:val="hybridMultilevel"/>
    <w:tmpl w:val="86EEC6D2"/>
    <w:lvl w:ilvl="0" w:tplc="9F36563A"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eastAsia="Times New Roman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99D5841"/>
    <w:multiLevelType w:val="hybridMultilevel"/>
    <w:tmpl w:val="70CCBBC0"/>
    <w:lvl w:ilvl="0" w:tplc="949455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E653354"/>
    <w:multiLevelType w:val="hybridMultilevel"/>
    <w:tmpl w:val="9E2210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EA3"/>
    <w:multiLevelType w:val="hybridMultilevel"/>
    <w:tmpl w:val="E6945E04"/>
    <w:lvl w:ilvl="0" w:tplc="4EA81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E2E343F"/>
    <w:multiLevelType w:val="hybridMultilevel"/>
    <w:tmpl w:val="C526D02C"/>
    <w:lvl w:ilvl="0" w:tplc="D7C410CE">
      <w:start w:val="1"/>
      <w:numFmt w:val="bullet"/>
      <w:lvlText w:val="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FC574FF"/>
    <w:multiLevelType w:val="hybridMultilevel"/>
    <w:tmpl w:val="41EAFFB0"/>
    <w:lvl w:ilvl="0" w:tplc="040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8"/>
  </w:num>
  <w:num w:numId="5">
    <w:abstractNumId w:val="1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0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08"/>
    <w:rsid w:val="00000B69"/>
    <w:rsid w:val="000039C7"/>
    <w:rsid w:val="00003BA9"/>
    <w:rsid w:val="000062B1"/>
    <w:rsid w:val="000107B2"/>
    <w:rsid w:val="00025429"/>
    <w:rsid w:val="00025B11"/>
    <w:rsid w:val="0004085F"/>
    <w:rsid w:val="00041A9B"/>
    <w:rsid w:val="00042AEB"/>
    <w:rsid w:val="00042E41"/>
    <w:rsid w:val="00046E38"/>
    <w:rsid w:val="00054A51"/>
    <w:rsid w:val="000554A4"/>
    <w:rsid w:val="00060660"/>
    <w:rsid w:val="0006275B"/>
    <w:rsid w:val="00062D4F"/>
    <w:rsid w:val="000640A9"/>
    <w:rsid w:val="00064291"/>
    <w:rsid w:val="00065CB4"/>
    <w:rsid w:val="00067530"/>
    <w:rsid w:val="00072CEF"/>
    <w:rsid w:val="000740D4"/>
    <w:rsid w:val="0007506D"/>
    <w:rsid w:val="000756D4"/>
    <w:rsid w:val="00075E39"/>
    <w:rsid w:val="000813D8"/>
    <w:rsid w:val="00081AAE"/>
    <w:rsid w:val="0008218F"/>
    <w:rsid w:val="00082CBF"/>
    <w:rsid w:val="00086CB5"/>
    <w:rsid w:val="00087933"/>
    <w:rsid w:val="00094186"/>
    <w:rsid w:val="00096083"/>
    <w:rsid w:val="00096B0E"/>
    <w:rsid w:val="000A1E74"/>
    <w:rsid w:val="000A4EF0"/>
    <w:rsid w:val="000A67EA"/>
    <w:rsid w:val="000A6832"/>
    <w:rsid w:val="000B37DA"/>
    <w:rsid w:val="000B5278"/>
    <w:rsid w:val="000B5F62"/>
    <w:rsid w:val="000B6027"/>
    <w:rsid w:val="000B77B0"/>
    <w:rsid w:val="000C63A3"/>
    <w:rsid w:val="000C6A84"/>
    <w:rsid w:val="000D5B51"/>
    <w:rsid w:val="000E425E"/>
    <w:rsid w:val="000E42DD"/>
    <w:rsid w:val="000E4532"/>
    <w:rsid w:val="000E4C82"/>
    <w:rsid w:val="000E5A62"/>
    <w:rsid w:val="000E6AB5"/>
    <w:rsid w:val="000E6FA8"/>
    <w:rsid w:val="000F0A77"/>
    <w:rsid w:val="000F0C76"/>
    <w:rsid w:val="000F163B"/>
    <w:rsid w:val="000F204B"/>
    <w:rsid w:val="000F277F"/>
    <w:rsid w:val="000F2E5A"/>
    <w:rsid w:val="000F68A4"/>
    <w:rsid w:val="000F7883"/>
    <w:rsid w:val="00101326"/>
    <w:rsid w:val="00102CA0"/>
    <w:rsid w:val="00111E34"/>
    <w:rsid w:val="0011392B"/>
    <w:rsid w:val="00114475"/>
    <w:rsid w:val="001149AB"/>
    <w:rsid w:val="0011786A"/>
    <w:rsid w:val="00117A86"/>
    <w:rsid w:val="00120F86"/>
    <w:rsid w:val="00121DCB"/>
    <w:rsid w:val="0012226D"/>
    <w:rsid w:val="001238B9"/>
    <w:rsid w:val="00124510"/>
    <w:rsid w:val="00124683"/>
    <w:rsid w:val="00134B3A"/>
    <w:rsid w:val="00137F49"/>
    <w:rsid w:val="001401A5"/>
    <w:rsid w:val="00143479"/>
    <w:rsid w:val="00145596"/>
    <w:rsid w:val="001470B1"/>
    <w:rsid w:val="00152A3E"/>
    <w:rsid w:val="001536B2"/>
    <w:rsid w:val="001566C6"/>
    <w:rsid w:val="001574CC"/>
    <w:rsid w:val="00160D63"/>
    <w:rsid w:val="00160EA0"/>
    <w:rsid w:val="001636C0"/>
    <w:rsid w:val="00165255"/>
    <w:rsid w:val="00170FDF"/>
    <w:rsid w:val="001743A8"/>
    <w:rsid w:val="00174A5D"/>
    <w:rsid w:val="00176B07"/>
    <w:rsid w:val="00180BCC"/>
    <w:rsid w:val="00183167"/>
    <w:rsid w:val="001835EF"/>
    <w:rsid w:val="00186EA5"/>
    <w:rsid w:val="001906BA"/>
    <w:rsid w:val="001928C1"/>
    <w:rsid w:val="00192A7D"/>
    <w:rsid w:val="0019469F"/>
    <w:rsid w:val="001959F3"/>
    <w:rsid w:val="001962C5"/>
    <w:rsid w:val="00196708"/>
    <w:rsid w:val="001A04FE"/>
    <w:rsid w:val="001A0F47"/>
    <w:rsid w:val="001A2051"/>
    <w:rsid w:val="001A5916"/>
    <w:rsid w:val="001B0B7B"/>
    <w:rsid w:val="001B6C21"/>
    <w:rsid w:val="001C1B4F"/>
    <w:rsid w:val="001C5D99"/>
    <w:rsid w:val="001C65F8"/>
    <w:rsid w:val="001D08C9"/>
    <w:rsid w:val="001D0F92"/>
    <w:rsid w:val="001D20FB"/>
    <w:rsid w:val="001D2338"/>
    <w:rsid w:val="001D3AF3"/>
    <w:rsid w:val="001D78BF"/>
    <w:rsid w:val="001E0C27"/>
    <w:rsid w:val="001E1211"/>
    <w:rsid w:val="001E1B82"/>
    <w:rsid w:val="001E1BDB"/>
    <w:rsid w:val="001E1EE3"/>
    <w:rsid w:val="001E27BC"/>
    <w:rsid w:val="001E2A80"/>
    <w:rsid w:val="001E6214"/>
    <w:rsid w:val="001F1588"/>
    <w:rsid w:val="001F1F6F"/>
    <w:rsid w:val="001F351D"/>
    <w:rsid w:val="001F6884"/>
    <w:rsid w:val="002019C8"/>
    <w:rsid w:val="00203610"/>
    <w:rsid w:val="0020392E"/>
    <w:rsid w:val="00205EB8"/>
    <w:rsid w:val="002060F4"/>
    <w:rsid w:val="002077D4"/>
    <w:rsid w:val="00210201"/>
    <w:rsid w:val="00210963"/>
    <w:rsid w:val="002111B1"/>
    <w:rsid w:val="002138EA"/>
    <w:rsid w:val="00213CDB"/>
    <w:rsid w:val="00214ABD"/>
    <w:rsid w:val="00215101"/>
    <w:rsid w:val="00215FC9"/>
    <w:rsid w:val="0021681E"/>
    <w:rsid w:val="00222186"/>
    <w:rsid w:val="00222195"/>
    <w:rsid w:val="002235CC"/>
    <w:rsid w:val="00223985"/>
    <w:rsid w:val="002271B6"/>
    <w:rsid w:val="00227F0C"/>
    <w:rsid w:val="00234059"/>
    <w:rsid w:val="002343D5"/>
    <w:rsid w:val="0023471D"/>
    <w:rsid w:val="0023489E"/>
    <w:rsid w:val="0023693C"/>
    <w:rsid w:val="00237819"/>
    <w:rsid w:val="00243440"/>
    <w:rsid w:val="00244568"/>
    <w:rsid w:val="00245E52"/>
    <w:rsid w:val="00246A41"/>
    <w:rsid w:val="00247A8E"/>
    <w:rsid w:val="00247E42"/>
    <w:rsid w:val="00251173"/>
    <w:rsid w:val="00251EDE"/>
    <w:rsid w:val="002624AE"/>
    <w:rsid w:val="002636EA"/>
    <w:rsid w:val="002665E7"/>
    <w:rsid w:val="00273E24"/>
    <w:rsid w:val="0027538A"/>
    <w:rsid w:val="002802D2"/>
    <w:rsid w:val="002808CC"/>
    <w:rsid w:val="002840FD"/>
    <w:rsid w:val="00286A9A"/>
    <w:rsid w:val="0029112B"/>
    <w:rsid w:val="002932EF"/>
    <w:rsid w:val="00294304"/>
    <w:rsid w:val="002948F6"/>
    <w:rsid w:val="00294B15"/>
    <w:rsid w:val="002953A5"/>
    <w:rsid w:val="00296F7F"/>
    <w:rsid w:val="002A00AC"/>
    <w:rsid w:val="002A1ED8"/>
    <w:rsid w:val="002A475E"/>
    <w:rsid w:val="002A5A97"/>
    <w:rsid w:val="002A6C2D"/>
    <w:rsid w:val="002B07A0"/>
    <w:rsid w:val="002B5AB4"/>
    <w:rsid w:val="002C3ABB"/>
    <w:rsid w:val="002C4987"/>
    <w:rsid w:val="002C4EAE"/>
    <w:rsid w:val="002C613F"/>
    <w:rsid w:val="002C7BB7"/>
    <w:rsid w:val="002C7F9B"/>
    <w:rsid w:val="002D3521"/>
    <w:rsid w:val="002D5CCA"/>
    <w:rsid w:val="002D5E32"/>
    <w:rsid w:val="002E0D27"/>
    <w:rsid w:val="002E2D00"/>
    <w:rsid w:val="002E2F2E"/>
    <w:rsid w:val="002F046A"/>
    <w:rsid w:val="002F3FE3"/>
    <w:rsid w:val="002F71D0"/>
    <w:rsid w:val="00304441"/>
    <w:rsid w:val="003046D0"/>
    <w:rsid w:val="00307A91"/>
    <w:rsid w:val="00310893"/>
    <w:rsid w:val="00311826"/>
    <w:rsid w:val="003139F8"/>
    <w:rsid w:val="00314371"/>
    <w:rsid w:val="003156A6"/>
    <w:rsid w:val="00320052"/>
    <w:rsid w:val="003209C5"/>
    <w:rsid w:val="00320A23"/>
    <w:rsid w:val="00320B35"/>
    <w:rsid w:val="00323D75"/>
    <w:rsid w:val="0033361D"/>
    <w:rsid w:val="00335329"/>
    <w:rsid w:val="0033547F"/>
    <w:rsid w:val="00335AC6"/>
    <w:rsid w:val="00336CEB"/>
    <w:rsid w:val="00337040"/>
    <w:rsid w:val="00340270"/>
    <w:rsid w:val="00340C26"/>
    <w:rsid w:val="00342156"/>
    <w:rsid w:val="0034298E"/>
    <w:rsid w:val="003429F3"/>
    <w:rsid w:val="00343629"/>
    <w:rsid w:val="003441EB"/>
    <w:rsid w:val="00344668"/>
    <w:rsid w:val="00345763"/>
    <w:rsid w:val="00345D7E"/>
    <w:rsid w:val="00350D5F"/>
    <w:rsid w:val="00351D8E"/>
    <w:rsid w:val="00352742"/>
    <w:rsid w:val="00352880"/>
    <w:rsid w:val="00353A7A"/>
    <w:rsid w:val="00353BB2"/>
    <w:rsid w:val="00354B0D"/>
    <w:rsid w:val="003605B2"/>
    <w:rsid w:val="00361E05"/>
    <w:rsid w:val="003636DF"/>
    <w:rsid w:val="003639EF"/>
    <w:rsid w:val="00363AEB"/>
    <w:rsid w:val="00364AA2"/>
    <w:rsid w:val="00364C15"/>
    <w:rsid w:val="00367CCF"/>
    <w:rsid w:val="00376A3E"/>
    <w:rsid w:val="00381568"/>
    <w:rsid w:val="003879BE"/>
    <w:rsid w:val="003914D4"/>
    <w:rsid w:val="003946BC"/>
    <w:rsid w:val="00394781"/>
    <w:rsid w:val="003967DA"/>
    <w:rsid w:val="00397242"/>
    <w:rsid w:val="003A1713"/>
    <w:rsid w:val="003A2602"/>
    <w:rsid w:val="003A2DE0"/>
    <w:rsid w:val="003A2FA6"/>
    <w:rsid w:val="003A4AC5"/>
    <w:rsid w:val="003A6A82"/>
    <w:rsid w:val="003A7076"/>
    <w:rsid w:val="003A7EEF"/>
    <w:rsid w:val="003B0B20"/>
    <w:rsid w:val="003B4F76"/>
    <w:rsid w:val="003B5F63"/>
    <w:rsid w:val="003B6D9D"/>
    <w:rsid w:val="003B7BF4"/>
    <w:rsid w:val="003C16B9"/>
    <w:rsid w:val="003C429E"/>
    <w:rsid w:val="003D0ED1"/>
    <w:rsid w:val="003D0F50"/>
    <w:rsid w:val="003D1216"/>
    <w:rsid w:val="003D2030"/>
    <w:rsid w:val="003D5B75"/>
    <w:rsid w:val="003D6675"/>
    <w:rsid w:val="003D7032"/>
    <w:rsid w:val="003E0C11"/>
    <w:rsid w:val="003E0F5F"/>
    <w:rsid w:val="003E24DE"/>
    <w:rsid w:val="003E69EF"/>
    <w:rsid w:val="003E6A1E"/>
    <w:rsid w:val="003E7D64"/>
    <w:rsid w:val="003F00D5"/>
    <w:rsid w:val="003F0BFB"/>
    <w:rsid w:val="003F3DFE"/>
    <w:rsid w:val="003F5456"/>
    <w:rsid w:val="00404626"/>
    <w:rsid w:val="00405B08"/>
    <w:rsid w:val="0041321F"/>
    <w:rsid w:val="004132C3"/>
    <w:rsid w:val="004136D5"/>
    <w:rsid w:val="00414B1C"/>
    <w:rsid w:val="00416A0B"/>
    <w:rsid w:val="00416D88"/>
    <w:rsid w:val="00417B5E"/>
    <w:rsid w:val="004212C4"/>
    <w:rsid w:val="0042183B"/>
    <w:rsid w:val="00422BBC"/>
    <w:rsid w:val="0042422C"/>
    <w:rsid w:val="00425ADB"/>
    <w:rsid w:val="00425E42"/>
    <w:rsid w:val="0042699D"/>
    <w:rsid w:val="0043032B"/>
    <w:rsid w:val="00434E81"/>
    <w:rsid w:val="004352BD"/>
    <w:rsid w:val="00437981"/>
    <w:rsid w:val="00437B8B"/>
    <w:rsid w:val="00440A2E"/>
    <w:rsid w:val="00443B77"/>
    <w:rsid w:val="00444110"/>
    <w:rsid w:val="00444119"/>
    <w:rsid w:val="004448BE"/>
    <w:rsid w:val="00444A3A"/>
    <w:rsid w:val="00447B6B"/>
    <w:rsid w:val="004513EC"/>
    <w:rsid w:val="0045212F"/>
    <w:rsid w:val="004524CF"/>
    <w:rsid w:val="004528F9"/>
    <w:rsid w:val="004542FD"/>
    <w:rsid w:val="0045520F"/>
    <w:rsid w:val="004562C7"/>
    <w:rsid w:val="004566F8"/>
    <w:rsid w:val="00456DA0"/>
    <w:rsid w:val="00467118"/>
    <w:rsid w:val="004678DD"/>
    <w:rsid w:val="0047410F"/>
    <w:rsid w:val="00475828"/>
    <w:rsid w:val="0048223A"/>
    <w:rsid w:val="00482E0A"/>
    <w:rsid w:val="0048374B"/>
    <w:rsid w:val="004857C3"/>
    <w:rsid w:val="00486344"/>
    <w:rsid w:val="004863CC"/>
    <w:rsid w:val="004876F3"/>
    <w:rsid w:val="00487D79"/>
    <w:rsid w:val="00494BFE"/>
    <w:rsid w:val="004958A8"/>
    <w:rsid w:val="00496019"/>
    <w:rsid w:val="004962E8"/>
    <w:rsid w:val="00497164"/>
    <w:rsid w:val="004A14BA"/>
    <w:rsid w:val="004A192E"/>
    <w:rsid w:val="004A1FB1"/>
    <w:rsid w:val="004A2131"/>
    <w:rsid w:val="004A2DEB"/>
    <w:rsid w:val="004A61AD"/>
    <w:rsid w:val="004A6DC6"/>
    <w:rsid w:val="004A7B49"/>
    <w:rsid w:val="004B2525"/>
    <w:rsid w:val="004B4301"/>
    <w:rsid w:val="004B5536"/>
    <w:rsid w:val="004B5BD9"/>
    <w:rsid w:val="004B6A5B"/>
    <w:rsid w:val="004B6ABA"/>
    <w:rsid w:val="004B7B54"/>
    <w:rsid w:val="004C0CD8"/>
    <w:rsid w:val="004C3B1C"/>
    <w:rsid w:val="004C5573"/>
    <w:rsid w:val="004C61D1"/>
    <w:rsid w:val="004C6F88"/>
    <w:rsid w:val="004D096B"/>
    <w:rsid w:val="004D3EC8"/>
    <w:rsid w:val="004D7303"/>
    <w:rsid w:val="004D75EC"/>
    <w:rsid w:val="004D7849"/>
    <w:rsid w:val="004D7F8D"/>
    <w:rsid w:val="004E1D1C"/>
    <w:rsid w:val="004E1DD0"/>
    <w:rsid w:val="004F1219"/>
    <w:rsid w:val="004F5399"/>
    <w:rsid w:val="004F5F79"/>
    <w:rsid w:val="004F72C8"/>
    <w:rsid w:val="00501D61"/>
    <w:rsid w:val="005026D6"/>
    <w:rsid w:val="0050284C"/>
    <w:rsid w:val="0050634B"/>
    <w:rsid w:val="00506E4A"/>
    <w:rsid w:val="00507681"/>
    <w:rsid w:val="00513156"/>
    <w:rsid w:val="00514A25"/>
    <w:rsid w:val="00516FB6"/>
    <w:rsid w:val="005227DE"/>
    <w:rsid w:val="005228BA"/>
    <w:rsid w:val="0053234E"/>
    <w:rsid w:val="00534ED0"/>
    <w:rsid w:val="0054010D"/>
    <w:rsid w:val="00540D8C"/>
    <w:rsid w:val="00540EA2"/>
    <w:rsid w:val="005415C8"/>
    <w:rsid w:val="00543D7A"/>
    <w:rsid w:val="00545606"/>
    <w:rsid w:val="00546980"/>
    <w:rsid w:val="00551B29"/>
    <w:rsid w:val="00554BE2"/>
    <w:rsid w:val="00560400"/>
    <w:rsid w:val="00560D47"/>
    <w:rsid w:val="00563230"/>
    <w:rsid w:val="0056398E"/>
    <w:rsid w:val="00564680"/>
    <w:rsid w:val="005668D0"/>
    <w:rsid w:val="005749B1"/>
    <w:rsid w:val="00574E35"/>
    <w:rsid w:val="00575977"/>
    <w:rsid w:val="005773A2"/>
    <w:rsid w:val="00582A5F"/>
    <w:rsid w:val="005831DC"/>
    <w:rsid w:val="00583B89"/>
    <w:rsid w:val="005845EC"/>
    <w:rsid w:val="0059046A"/>
    <w:rsid w:val="005917FB"/>
    <w:rsid w:val="00593DE3"/>
    <w:rsid w:val="00594F33"/>
    <w:rsid w:val="00595BF6"/>
    <w:rsid w:val="00596DE9"/>
    <w:rsid w:val="00597FED"/>
    <w:rsid w:val="005A094A"/>
    <w:rsid w:val="005A2A8B"/>
    <w:rsid w:val="005A3723"/>
    <w:rsid w:val="005B0B55"/>
    <w:rsid w:val="005B1DD0"/>
    <w:rsid w:val="005B2EA5"/>
    <w:rsid w:val="005B406E"/>
    <w:rsid w:val="005C52D7"/>
    <w:rsid w:val="005C6BA9"/>
    <w:rsid w:val="005C7AA2"/>
    <w:rsid w:val="005D4ACB"/>
    <w:rsid w:val="005D5CE6"/>
    <w:rsid w:val="005D5F2E"/>
    <w:rsid w:val="005E303C"/>
    <w:rsid w:val="005E429B"/>
    <w:rsid w:val="005F1780"/>
    <w:rsid w:val="005F240C"/>
    <w:rsid w:val="005F3D3B"/>
    <w:rsid w:val="005F4895"/>
    <w:rsid w:val="005F6033"/>
    <w:rsid w:val="005F63DC"/>
    <w:rsid w:val="005F78B8"/>
    <w:rsid w:val="00600119"/>
    <w:rsid w:val="0060054B"/>
    <w:rsid w:val="0060210E"/>
    <w:rsid w:val="00602235"/>
    <w:rsid w:val="00606FA3"/>
    <w:rsid w:val="0060743B"/>
    <w:rsid w:val="006104BE"/>
    <w:rsid w:val="00613CA5"/>
    <w:rsid w:val="00614D3B"/>
    <w:rsid w:val="00620F72"/>
    <w:rsid w:val="00620F90"/>
    <w:rsid w:val="006210FC"/>
    <w:rsid w:val="006213AA"/>
    <w:rsid w:val="006228B8"/>
    <w:rsid w:val="006246F8"/>
    <w:rsid w:val="00624E88"/>
    <w:rsid w:val="00631A4C"/>
    <w:rsid w:val="00634A6B"/>
    <w:rsid w:val="0063533D"/>
    <w:rsid w:val="00635CBE"/>
    <w:rsid w:val="00637413"/>
    <w:rsid w:val="00640594"/>
    <w:rsid w:val="00641659"/>
    <w:rsid w:val="006451D0"/>
    <w:rsid w:val="00646DB0"/>
    <w:rsid w:val="006470D7"/>
    <w:rsid w:val="0065571B"/>
    <w:rsid w:val="00657D49"/>
    <w:rsid w:val="006617B1"/>
    <w:rsid w:val="00661C7B"/>
    <w:rsid w:val="006624AF"/>
    <w:rsid w:val="00664B41"/>
    <w:rsid w:val="00665C58"/>
    <w:rsid w:val="00665E2C"/>
    <w:rsid w:val="006677D1"/>
    <w:rsid w:val="006702F7"/>
    <w:rsid w:val="00670449"/>
    <w:rsid w:val="00670D2D"/>
    <w:rsid w:val="0067167D"/>
    <w:rsid w:val="006739B7"/>
    <w:rsid w:val="006749B6"/>
    <w:rsid w:val="00676D11"/>
    <w:rsid w:val="00680FF1"/>
    <w:rsid w:val="00681FE3"/>
    <w:rsid w:val="006821AF"/>
    <w:rsid w:val="00685505"/>
    <w:rsid w:val="00686364"/>
    <w:rsid w:val="00691D24"/>
    <w:rsid w:val="00691DF4"/>
    <w:rsid w:val="00692E6F"/>
    <w:rsid w:val="006935DE"/>
    <w:rsid w:val="00693952"/>
    <w:rsid w:val="00696CE1"/>
    <w:rsid w:val="00697A8B"/>
    <w:rsid w:val="00697EA6"/>
    <w:rsid w:val="006A020E"/>
    <w:rsid w:val="006A07FE"/>
    <w:rsid w:val="006A2053"/>
    <w:rsid w:val="006A4D19"/>
    <w:rsid w:val="006A7567"/>
    <w:rsid w:val="006B11AB"/>
    <w:rsid w:val="006B2805"/>
    <w:rsid w:val="006B3ED9"/>
    <w:rsid w:val="006B4F1C"/>
    <w:rsid w:val="006B5859"/>
    <w:rsid w:val="006C3CBD"/>
    <w:rsid w:val="006C463F"/>
    <w:rsid w:val="006C64B6"/>
    <w:rsid w:val="006C7C88"/>
    <w:rsid w:val="006D0BCA"/>
    <w:rsid w:val="006D59AB"/>
    <w:rsid w:val="006D5A39"/>
    <w:rsid w:val="006E0A39"/>
    <w:rsid w:val="006E0C30"/>
    <w:rsid w:val="006E1A97"/>
    <w:rsid w:val="006E4AB5"/>
    <w:rsid w:val="006E5FA7"/>
    <w:rsid w:val="006E637D"/>
    <w:rsid w:val="006F0337"/>
    <w:rsid w:val="006F0EA0"/>
    <w:rsid w:val="006F18ED"/>
    <w:rsid w:val="006F21B1"/>
    <w:rsid w:val="006F4EE2"/>
    <w:rsid w:val="006F6259"/>
    <w:rsid w:val="006F6A35"/>
    <w:rsid w:val="00701222"/>
    <w:rsid w:val="00701879"/>
    <w:rsid w:val="00704820"/>
    <w:rsid w:val="007108EB"/>
    <w:rsid w:val="00712877"/>
    <w:rsid w:val="00712A38"/>
    <w:rsid w:val="00712AB0"/>
    <w:rsid w:val="007143E3"/>
    <w:rsid w:val="00715E9D"/>
    <w:rsid w:val="00715F6B"/>
    <w:rsid w:val="007164CA"/>
    <w:rsid w:val="007207F0"/>
    <w:rsid w:val="00720FF3"/>
    <w:rsid w:val="007224D9"/>
    <w:rsid w:val="00723A7D"/>
    <w:rsid w:val="0073042E"/>
    <w:rsid w:val="007312AF"/>
    <w:rsid w:val="00732453"/>
    <w:rsid w:val="0074000F"/>
    <w:rsid w:val="007415D6"/>
    <w:rsid w:val="007467EB"/>
    <w:rsid w:val="00746E56"/>
    <w:rsid w:val="00751208"/>
    <w:rsid w:val="0075139A"/>
    <w:rsid w:val="00754D05"/>
    <w:rsid w:val="00754D1A"/>
    <w:rsid w:val="007615FA"/>
    <w:rsid w:val="00762668"/>
    <w:rsid w:val="00763F7E"/>
    <w:rsid w:val="00765F50"/>
    <w:rsid w:val="0076610A"/>
    <w:rsid w:val="00773792"/>
    <w:rsid w:val="007745B4"/>
    <w:rsid w:val="00776629"/>
    <w:rsid w:val="0078091B"/>
    <w:rsid w:val="007823D9"/>
    <w:rsid w:val="00782490"/>
    <w:rsid w:val="007861EB"/>
    <w:rsid w:val="00787256"/>
    <w:rsid w:val="0078754F"/>
    <w:rsid w:val="00790ED2"/>
    <w:rsid w:val="00791261"/>
    <w:rsid w:val="00796478"/>
    <w:rsid w:val="00797DE7"/>
    <w:rsid w:val="007A44A9"/>
    <w:rsid w:val="007A4D9E"/>
    <w:rsid w:val="007A5828"/>
    <w:rsid w:val="007B28ED"/>
    <w:rsid w:val="007B6783"/>
    <w:rsid w:val="007B6A42"/>
    <w:rsid w:val="007B6B46"/>
    <w:rsid w:val="007B6C7F"/>
    <w:rsid w:val="007C16BA"/>
    <w:rsid w:val="007C1D42"/>
    <w:rsid w:val="007C264B"/>
    <w:rsid w:val="007C4431"/>
    <w:rsid w:val="007C5A02"/>
    <w:rsid w:val="007C7416"/>
    <w:rsid w:val="007D2789"/>
    <w:rsid w:val="007D6CDE"/>
    <w:rsid w:val="007D70BB"/>
    <w:rsid w:val="007D731A"/>
    <w:rsid w:val="007D761A"/>
    <w:rsid w:val="007E0684"/>
    <w:rsid w:val="007F108F"/>
    <w:rsid w:val="007F1449"/>
    <w:rsid w:val="007F37D1"/>
    <w:rsid w:val="007F6661"/>
    <w:rsid w:val="007F6F29"/>
    <w:rsid w:val="007F7F22"/>
    <w:rsid w:val="0080079C"/>
    <w:rsid w:val="008020AC"/>
    <w:rsid w:val="00806AC0"/>
    <w:rsid w:val="0080767F"/>
    <w:rsid w:val="00807AE2"/>
    <w:rsid w:val="00807D84"/>
    <w:rsid w:val="00810E9D"/>
    <w:rsid w:val="008120DB"/>
    <w:rsid w:val="0081364F"/>
    <w:rsid w:val="00815D9E"/>
    <w:rsid w:val="008169AD"/>
    <w:rsid w:val="008173AD"/>
    <w:rsid w:val="00817930"/>
    <w:rsid w:val="008221A1"/>
    <w:rsid w:val="00826F99"/>
    <w:rsid w:val="008322AE"/>
    <w:rsid w:val="00832624"/>
    <w:rsid w:val="0083357E"/>
    <w:rsid w:val="008335B6"/>
    <w:rsid w:val="008338A5"/>
    <w:rsid w:val="0083699D"/>
    <w:rsid w:val="00837C0B"/>
    <w:rsid w:val="008427C7"/>
    <w:rsid w:val="00845950"/>
    <w:rsid w:val="00852E6D"/>
    <w:rsid w:val="00854239"/>
    <w:rsid w:val="00854C32"/>
    <w:rsid w:val="008556C4"/>
    <w:rsid w:val="00855CA0"/>
    <w:rsid w:val="008604A3"/>
    <w:rsid w:val="00860820"/>
    <w:rsid w:val="008646DB"/>
    <w:rsid w:val="00872EF2"/>
    <w:rsid w:val="008741DC"/>
    <w:rsid w:val="00884ABE"/>
    <w:rsid w:val="008905CD"/>
    <w:rsid w:val="00891814"/>
    <w:rsid w:val="008933D2"/>
    <w:rsid w:val="008A05BD"/>
    <w:rsid w:val="008A1661"/>
    <w:rsid w:val="008A4ABD"/>
    <w:rsid w:val="008A51F1"/>
    <w:rsid w:val="008A7372"/>
    <w:rsid w:val="008B173C"/>
    <w:rsid w:val="008B32CF"/>
    <w:rsid w:val="008B465B"/>
    <w:rsid w:val="008B7C38"/>
    <w:rsid w:val="008C00F8"/>
    <w:rsid w:val="008C07B6"/>
    <w:rsid w:val="008D132F"/>
    <w:rsid w:val="008D2EAC"/>
    <w:rsid w:val="008D30DD"/>
    <w:rsid w:val="008D3797"/>
    <w:rsid w:val="008D73F0"/>
    <w:rsid w:val="008E25C8"/>
    <w:rsid w:val="008E4555"/>
    <w:rsid w:val="008E579B"/>
    <w:rsid w:val="008E68B8"/>
    <w:rsid w:val="008E7845"/>
    <w:rsid w:val="008F0499"/>
    <w:rsid w:val="008F23CF"/>
    <w:rsid w:val="008F32B9"/>
    <w:rsid w:val="008F3CF9"/>
    <w:rsid w:val="008F53A3"/>
    <w:rsid w:val="008F6D52"/>
    <w:rsid w:val="00903E23"/>
    <w:rsid w:val="00904D9C"/>
    <w:rsid w:val="00906437"/>
    <w:rsid w:val="00907737"/>
    <w:rsid w:val="009201AE"/>
    <w:rsid w:val="00922A7F"/>
    <w:rsid w:val="0092691A"/>
    <w:rsid w:val="00930033"/>
    <w:rsid w:val="0093109B"/>
    <w:rsid w:val="00932BD3"/>
    <w:rsid w:val="00933954"/>
    <w:rsid w:val="00934336"/>
    <w:rsid w:val="0093481B"/>
    <w:rsid w:val="00936D97"/>
    <w:rsid w:val="009430D2"/>
    <w:rsid w:val="00943BC9"/>
    <w:rsid w:val="00943F4B"/>
    <w:rsid w:val="009449DC"/>
    <w:rsid w:val="0094602E"/>
    <w:rsid w:val="0095034A"/>
    <w:rsid w:val="00950EE5"/>
    <w:rsid w:val="0095132D"/>
    <w:rsid w:val="00951FCC"/>
    <w:rsid w:val="00952D2D"/>
    <w:rsid w:val="00954F1A"/>
    <w:rsid w:val="00955503"/>
    <w:rsid w:val="00956E85"/>
    <w:rsid w:val="00956F37"/>
    <w:rsid w:val="009619D9"/>
    <w:rsid w:val="00961F45"/>
    <w:rsid w:val="009624DC"/>
    <w:rsid w:val="00962B70"/>
    <w:rsid w:val="009703BF"/>
    <w:rsid w:val="0097173C"/>
    <w:rsid w:val="00974CA4"/>
    <w:rsid w:val="00977B98"/>
    <w:rsid w:val="009809F5"/>
    <w:rsid w:val="00983983"/>
    <w:rsid w:val="00985137"/>
    <w:rsid w:val="009855C8"/>
    <w:rsid w:val="00985CF4"/>
    <w:rsid w:val="00987292"/>
    <w:rsid w:val="0098749A"/>
    <w:rsid w:val="0099039F"/>
    <w:rsid w:val="00990517"/>
    <w:rsid w:val="009919E5"/>
    <w:rsid w:val="00991BE5"/>
    <w:rsid w:val="00991E43"/>
    <w:rsid w:val="009924A8"/>
    <w:rsid w:val="00994065"/>
    <w:rsid w:val="009979D6"/>
    <w:rsid w:val="009A049C"/>
    <w:rsid w:val="009A2002"/>
    <w:rsid w:val="009A36E1"/>
    <w:rsid w:val="009A4037"/>
    <w:rsid w:val="009A4D5A"/>
    <w:rsid w:val="009A77A0"/>
    <w:rsid w:val="009B0F57"/>
    <w:rsid w:val="009B14C7"/>
    <w:rsid w:val="009B2C3A"/>
    <w:rsid w:val="009B4BEE"/>
    <w:rsid w:val="009B5E67"/>
    <w:rsid w:val="009B6BBF"/>
    <w:rsid w:val="009C0688"/>
    <w:rsid w:val="009C08B8"/>
    <w:rsid w:val="009C3D9C"/>
    <w:rsid w:val="009C4974"/>
    <w:rsid w:val="009C59B3"/>
    <w:rsid w:val="009D0269"/>
    <w:rsid w:val="009D073E"/>
    <w:rsid w:val="009D078F"/>
    <w:rsid w:val="009D0C9E"/>
    <w:rsid w:val="009D1A6A"/>
    <w:rsid w:val="009D2A9A"/>
    <w:rsid w:val="009D7E65"/>
    <w:rsid w:val="009E2584"/>
    <w:rsid w:val="009E6080"/>
    <w:rsid w:val="009E65E3"/>
    <w:rsid w:val="009F011E"/>
    <w:rsid w:val="009F0306"/>
    <w:rsid w:val="009F055E"/>
    <w:rsid w:val="009F1081"/>
    <w:rsid w:val="009F1832"/>
    <w:rsid w:val="009F2EC7"/>
    <w:rsid w:val="009F66F7"/>
    <w:rsid w:val="009F7823"/>
    <w:rsid w:val="00A01477"/>
    <w:rsid w:val="00A03B7F"/>
    <w:rsid w:val="00A04FD8"/>
    <w:rsid w:val="00A05538"/>
    <w:rsid w:val="00A06F11"/>
    <w:rsid w:val="00A0754A"/>
    <w:rsid w:val="00A07DBF"/>
    <w:rsid w:val="00A10247"/>
    <w:rsid w:val="00A102D1"/>
    <w:rsid w:val="00A1122A"/>
    <w:rsid w:val="00A15B54"/>
    <w:rsid w:val="00A162F4"/>
    <w:rsid w:val="00A17FE7"/>
    <w:rsid w:val="00A2370D"/>
    <w:rsid w:val="00A256AC"/>
    <w:rsid w:val="00A27F51"/>
    <w:rsid w:val="00A36F17"/>
    <w:rsid w:val="00A40A5F"/>
    <w:rsid w:val="00A40EB0"/>
    <w:rsid w:val="00A434B7"/>
    <w:rsid w:val="00A44D6C"/>
    <w:rsid w:val="00A45708"/>
    <w:rsid w:val="00A46096"/>
    <w:rsid w:val="00A46A98"/>
    <w:rsid w:val="00A47301"/>
    <w:rsid w:val="00A5057E"/>
    <w:rsid w:val="00A50839"/>
    <w:rsid w:val="00A510DD"/>
    <w:rsid w:val="00A527E3"/>
    <w:rsid w:val="00A5447E"/>
    <w:rsid w:val="00A54562"/>
    <w:rsid w:val="00A54B77"/>
    <w:rsid w:val="00A56883"/>
    <w:rsid w:val="00A57015"/>
    <w:rsid w:val="00A60010"/>
    <w:rsid w:val="00A6104C"/>
    <w:rsid w:val="00A61765"/>
    <w:rsid w:val="00A637A6"/>
    <w:rsid w:val="00A662E3"/>
    <w:rsid w:val="00A717FB"/>
    <w:rsid w:val="00A736F2"/>
    <w:rsid w:val="00A744EC"/>
    <w:rsid w:val="00A75E97"/>
    <w:rsid w:val="00A76F3B"/>
    <w:rsid w:val="00A80F95"/>
    <w:rsid w:val="00A81CC0"/>
    <w:rsid w:val="00A82EF2"/>
    <w:rsid w:val="00A85B40"/>
    <w:rsid w:val="00A86DA1"/>
    <w:rsid w:val="00A90954"/>
    <w:rsid w:val="00A9706B"/>
    <w:rsid w:val="00A97084"/>
    <w:rsid w:val="00AA234F"/>
    <w:rsid w:val="00AA2BE1"/>
    <w:rsid w:val="00AA2F0D"/>
    <w:rsid w:val="00AA3549"/>
    <w:rsid w:val="00AA4259"/>
    <w:rsid w:val="00AA4BD0"/>
    <w:rsid w:val="00AA5127"/>
    <w:rsid w:val="00AA6714"/>
    <w:rsid w:val="00AB32E2"/>
    <w:rsid w:val="00AB639A"/>
    <w:rsid w:val="00AB7493"/>
    <w:rsid w:val="00AC060E"/>
    <w:rsid w:val="00AC2275"/>
    <w:rsid w:val="00AC488D"/>
    <w:rsid w:val="00AD04B9"/>
    <w:rsid w:val="00AD36A5"/>
    <w:rsid w:val="00AD3D1B"/>
    <w:rsid w:val="00AD4E43"/>
    <w:rsid w:val="00AD71A8"/>
    <w:rsid w:val="00AD7329"/>
    <w:rsid w:val="00AE0137"/>
    <w:rsid w:val="00AE29B9"/>
    <w:rsid w:val="00AE6CF6"/>
    <w:rsid w:val="00AE74F7"/>
    <w:rsid w:val="00AE7BBA"/>
    <w:rsid w:val="00AE7F3C"/>
    <w:rsid w:val="00AF0C58"/>
    <w:rsid w:val="00AF23CD"/>
    <w:rsid w:val="00AF2E34"/>
    <w:rsid w:val="00AF2FB2"/>
    <w:rsid w:val="00AF3131"/>
    <w:rsid w:val="00AF7151"/>
    <w:rsid w:val="00B014ED"/>
    <w:rsid w:val="00B03DD9"/>
    <w:rsid w:val="00B0471B"/>
    <w:rsid w:val="00B109B5"/>
    <w:rsid w:val="00B11892"/>
    <w:rsid w:val="00B13A33"/>
    <w:rsid w:val="00B17C26"/>
    <w:rsid w:val="00B2291A"/>
    <w:rsid w:val="00B23FF6"/>
    <w:rsid w:val="00B24E6E"/>
    <w:rsid w:val="00B2637E"/>
    <w:rsid w:val="00B263CE"/>
    <w:rsid w:val="00B27AC9"/>
    <w:rsid w:val="00B326D3"/>
    <w:rsid w:val="00B33746"/>
    <w:rsid w:val="00B341EB"/>
    <w:rsid w:val="00B345FA"/>
    <w:rsid w:val="00B3556C"/>
    <w:rsid w:val="00B3733D"/>
    <w:rsid w:val="00B45F41"/>
    <w:rsid w:val="00B464B9"/>
    <w:rsid w:val="00B53449"/>
    <w:rsid w:val="00B541E7"/>
    <w:rsid w:val="00B55F2F"/>
    <w:rsid w:val="00B5794F"/>
    <w:rsid w:val="00B61856"/>
    <w:rsid w:val="00B61CE9"/>
    <w:rsid w:val="00B62420"/>
    <w:rsid w:val="00B65A30"/>
    <w:rsid w:val="00B679D6"/>
    <w:rsid w:val="00B71551"/>
    <w:rsid w:val="00B7284F"/>
    <w:rsid w:val="00B72C36"/>
    <w:rsid w:val="00B80665"/>
    <w:rsid w:val="00B80A6C"/>
    <w:rsid w:val="00B80F4B"/>
    <w:rsid w:val="00B82C42"/>
    <w:rsid w:val="00B872BA"/>
    <w:rsid w:val="00B91616"/>
    <w:rsid w:val="00B918CA"/>
    <w:rsid w:val="00B937D1"/>
    <w:rsid w:val="00B97A83"/>
    <w:rsid w:val="00BA0B00"/>
    <w:rsid w:val="00BA1EA8"/>
    <w:rsid w:val="00BA20B6"/>
    <w:rsid w:val="00BA47FE"/>
    <w:rsid w:val="00BA4832"/>
    <w:rsid w:val="00BA4A6D"/>
    <w:rsid w:val="00BA58A6"/>
    <w:rsid w:val="00BA5920"/>
    <w:rsid w:val="00BB08D4"/>
    <w:rsid w:val="00BB26C8"/>
    <w:rsid w:val="00BB2740"/>
    <w:rsid w:val="00BB2763"/>
    <w:rsid w:val="00BB2AC2"/>
    <w:rsid w:val="00BB5D31"/>
    <w:rsid w:val="00BB6F0E"/>
    <w:rsid w:val="00BC337A"/>
    <w:rsid w:val="00BC39A1"/>
    <w:rsid w:val="00BC5733"/>
    <w:rsid w:val="00BC787A"/>
    <w:rsid w:val="00BD0A83"/>
    <w:rsid w:val="00BD14F2"/>
    <w:rsid w:val="00BD5DEA"/>
    <w:rsid w:val="00BD72D0"/>
    <w:rsid w:val="00BD7FFB"/>
    <w:rsid w:val="00BE09DD"/>
    <w:rsid w:val="00BE12BE"/>
    <w:rsid w:val="00BE2668"/>
    <w:rsid w:val="00BE26A6"/>
    <w:rsid w:val="00BE726B"/>
    <w:rsid w:val="00BF0949"/>
    <w:rsid w:val="00BF0FA8"/>
    <w:rsid w:val="00BF2875"/>
    <w:rsid w:val="00BF445C"/>
    <w:rsid w:val="00BF71E5"/>
    <w:rsid w:val="00C01C73"/>
    <w:rsid w:val="00C02B64"/>
    <w:rsid w:val="00C07029"/>
    <w:rsid w:val="00C1002A"/>
    <w:rsid w:val="00C10AA9"/>
    <w:rsid w:val="00C10CC1"/>
    <w:rsid w:val="00C12F71"/>
    <w:rsid w:val="00C16BEA"/>
    <w:rsid w:val="00C24AB8"/>
    <w:rsid w:val="00C26B00"/>
    <w:rsid w:val="00C26B48"/>
    <w:rsid w:val="00C270D5"/>
    <w:rsid w:val="00C277D6"/>
    <w:rsid w:val="00C30187"/>
    <w:rsid w:val="00C3254E"/>
    <w:rsid w:val="00C34C26"/>
    <w:rsid w:val="00C35164"/>
    <w:rsid w:val="00C358AD"/>
    <w:rsid w:val="00C37203"/>
    <w:rsid w:val="00C37E12"/>
    <w:rsid w:val="00C37FA4"/>
    <w:rsid w:val="00C40570"/>
    <w:rsid w:val="00C41EB7"/>
    <w:rsid w:val="00C43164"/>
    <w:rsid w:val="00C43682"/>
    <w:rsid w:val="00C44248"/>
    <w:rsid w:val="00C46B71"/>
    <w:rsid w:val="00C47ED8"/>
    <w:rsid w:val="00C50C2C"/>
    <w:rsid w:val="00C5278A"/>
    <w:rsid w:val="00C56C02"/>
    <w:rsid w:val="00C617B0"/>
    <w:rsid w:val="00C653B9"/>
    <w:rsid w:val="00C712C4"/>
    <w:rsid w:val="00C71E26"/>
    <w:rsid w:val="00C7289F"/>
    <w:rsid w:val="00C74CD5"/>
    <w:rsid w:val="00C75D85"/>
    <w:rsid w:val="00C763C3"/>
    <w:rsid w:val="00C776EF"/>
    <w:rsid w:val="00C82260"/>
    <w:rsid w:val="00C92A72"/>
    <w:rsid w:val="00CA3365"/>
    <w:rsid w:val="00CA4E1C"/>
    <w:rsid w:val="00CA7E0E"/>
    <w:rsid w:val="00CB0F7E"/>
    <w:rsid w:val="00CB20A2"/>
    <w:rsid w:val="00CB2251"/>
    <w:rsid w:val="00CB27D3"/>
    <w:rsid w:val="00CB2C9C"/>
    <w:rsid w:val="00CB3B0E"/>
    <w:rsid w:val="00CB798E"/>
    <w:rsid w:val="00CB7DB6"/>
    <w:rsid w:val="00CC1D27"/>
    <w:rsid w:val="00CC2AF4"/>
    <w:rsid w:val="00CC32FA"/>
    <w:rsid w:val="00CC4A36"/>
    <w:rsid w:val="00CC4E01"/>
    <w:rsid w:val="00CC7540"/>
    <w:rsid w:val="00CC75F3"/>
    <w:rsid w:val="00CC77B1"/>
    <w:rsid w:val="00CC7831"/>
    <w:rsid w:val="00CC7E76"/>
    <w:rsid w:val="00CD0408"/>
    <w:rsid w:val="00CE630E"/>
    <w:rsid w:val="00CF0409"/>
    <w:rsid w:val="00CF218D"/>
    <w:rsid w:val="00CF43BE"/>
    <w:rsid w:val="00CF4A6E"/>
    <w:rsid w:val="00CF5E3E"/>
    <w:rsid w:val="00CF60BC"/>
    <w:rsid w:val="00CF774F"/>
    <w:rsid w:val="00D01476"/>
    <w:rsid w:val="00D03B79"/>
    <w:rsid w:val="00D044AE"/>
    <w:rsid w:val="00D13B58"/>
    <w:rsid w:val="00D1653C"/>
    <w:rsid w:val="00D20902"/>
    <w:rsid w:val="00D24347"/>
    <w:rsid w:val="00D30624"/>
    <w:rsid w:val="00D30A29"/>
    <w:rsid w:val="00D330AA"/>
    <w:rsid w:val="00D35A9E"/>
    <w:rsid w:val="00D3609E"/>
    <w:rsid w:val="00D36204"/>
    <w:rsid w:val="00D36B73"/>
    <w:rsid w:val="00D37070"/>
    <w:rsid w:val="00D41C92"/>
    <w:rsid w:val="00D420C3"/>
    <w:rsid w:val="00D42A41"/>
    <w:rsid w:val="00D4307F"/>
    <w:rsid w:val="00D46AD7"/>
    <w:rsid w:val="00D4722C"/>
    <w:rsid w:val="00D50F3C"/>
    <w:rsid w:val="00D51023"/>
    <w:rsid w:val="00D51D0A"/>
    <w:rsid w:val="00D534AD"/>
    <w:rsid w:val="00D67076"/>
    <w:rsid w:val="00D670DD"/>
    <w:rsid w:val="00D67C70"/>
    <w:rsid w:val="00D70392"/>
    <w:rsid w:val="00D717EE"/>
    <w:rsid w:val="00D7469A"/>
    <w:rsid w:val="00D76BF9"/>
    <w:rsid w:val="00D7740E"/>
    <w:rsid w:val="00D8200D"/>
    <w:rsid w:val="00D847EC"/>
    <w:rsid w:val="00D85347"/>
    <w:rsid w:val="00D87280"/>
    <w:rsid w:val="00D90A5C"/>
    <w:rsid w:val="00D90CC4"/>
    <w:rsid w:val="00D92BE0"/>
    <w:rsid w:val="00D92C4F"/>
    <w:rsid w:val="00D94407"/>
    <w:rsid w:val="00D94BA4"/>
    <w:rsid w:val="00D97776"/>
    <w:rsid w:val="00DA25E7"/>
    <w:rsid w:val="00DA3C1B"/>
    <w:rsid w:val="00DA5A7A"/>
    <w:rsid w:val="00DB3E68"/>
    <w:rsid w:val="00DB5671"/>
    <w:rsid w:val="00DC003F"/>
    <w:rsid w:val="00DC1C57"/>
    <w:rsid w:val="00DC1D9D"/>
    <w:rsid w:val="00DC59E0"/>
    <w:rsid w:val="00DD1D46"/>
    <w:rsid w:val="00DD347F"/>
    <w:rsid w:val="00DD48A6"/>
    <w:rsid w:val="00DD5B8A"/>
    <w:rsid w:val="00DD6ED8"/>
    <w:rsid w:val="00DE2817"/>
    <w:rsid w:val="00DE3FB5"/>
    <w:rsid w:val="00DE44CA"/>
    <w:rsid w:val="00DE47A3"/>
    <w:rsid w:val="00DE5073"/>
    <w:rsid w:val="00DE65DC"/>
    <w:rsid w:val="00DE7FAF"/>
    <w:rsid w:val="00DF27B7"/>
    <w:rsid w:val="00DF44B9"/>
    <w:rsid w:val="00DF6B75"/>
    <w:rsid w:val="00DF7F45"/>
    <w:rsid w:val="00E0021B"/>
    <w:rsid w:val="00E02C2B"/>
    <w:rsid w:val="00E067E4"/>
    <w:rsid w:val="00E12E0B"/>
    <w:rsid w:val="00E15425"/>
    <w:rsid w:val="00E16459"/>
    <w:rsid w:val="00E16CC7"/>
    <w:rsid w:val="00E21DBD"/>
    <w:rsid w:val="00E21FC8"/>
    <w:rsid w:val="00E2224B"/>
    <w:rsid w:val="00E23BA3"/>
    <w:rsid w:val="00E24AFD"/>
    <w:rsid w:val="00E26041"/>
    <w:rsid w:val="00E32112"/>
    <w:rsid w:val="00E34CFA"/>
    <w:rsid w:val="00E34D20"/>
    <w:rsid w:val="00E355EE"/>
    <w:rsid w:val="00E36908"/>
    <w:rsid w:val="00E3769A"/>
    <w:rsid w:val="00E40079"/>
    <w:rsid w:val="00E4020E"/>
    <w:rsid w:val="00E436E3"/>
    <w:rsid w:val="00E4389C"/>
    <w:rsid w:val="00E445D6"/>
    <w:rsid w:val="00E44A2A"/>
    <w:rsid w:val="00E47C20"/>
    <w:rsid w:val="00E47CB9"/>
    <w:rsid w:val="00E50141"/>
    <w:rsid w:val="00E51355"/>
    <w:rsid w:val="00E51AFC"/>
    <w:rsid w:val="00E524D7"/>
    <w:rsid w:val="00E52529"/>
    <w:rsid w:val="00E52939"/>
    <w:rsid w:val="00E55A96"/>
    <w:rsid w:val="00E570AC"/>
    <w:rsid w:val="00E57618"/>
    <w:rsid w:val="00E63037"/>
    <w:rsid w:val="00E640A9"/>
    <w:rsid w:val="00E64608"/>
    <w:rsid w:val="00E655DD"/>
    <w:rsid w:val="00E6687B"/>
    <w:rsid w:val="00E66FDB"/>
    <w:rsid w:val="00E70D33"/>
    <w:rsid w:val="00E7210E"/>
    <w:rsid w:val="00E72E27"/>
    <w:rsid w:val="00E74D3B"/>
    <w:rsid w:val="00E76A20"/>
    <w:rsid w:val="00E84254"/>
    <w:rsid w:val="00E8566E"/>
    <w:rsid w:val="00E85784"/>
    <w:rsid w:val="00E85898"/>
    <w:rsid w:val="00E85E3B"/>
    <w:rsid w:val="00E877B0"/>
    <w:rsid w:val="00E923B4"/>
    <w:rsid w:val="00E96009"/>
    <w:rsid w:val="00EB065F"/>
    <w:rsid w:val="00EB0871"/>
    <w:rsid w:val="00EB440C"/>
    <w:rsid w:val="00EB4A6C"/>
    <w:rsid w:val="00EB6905"/>
    <w:rsid w:val="00EC1715"/>
    <w:rsid w:val="00EC744F"/>
    <w:rsid w:val="00EC7525"/>
    <w:rsid w:val="00ED27DF"/>
    <w:rsid w:val="00ED361F"/>
    <w:rsid w:val="00ED4296"/>
    <w:rsid w:val="00ED4700"/>
    <w:rsid w:val="00ED5C2E"/>
    <w:rsid w:val="00ED5C40"/>
    <w:rsid w:val="00ED799C"/>
    <w:rsid w:val="00EE0322"/>
    <w:rsid w:val="00EE1FA1"/>
    <w:rsid w:val="00EE4025"/>
    <w:rsid w:val="00EE7743"/>
    <w:rsid w:val="00EE7981"/>
    <w:rsid w:val="00EF55BC"/>
    <w:rsid w:val="00EF5DF7"/>
    <w:rsid w:val="00F00709"/>
    <w:rsid w:val="00F01777"/>
    <w:rsid w:val="00F01788"/>
    <w:rsid w:val="00F02C00"/>
    <w:rsid w:val="00F06571"/>
    <w:rsid w:val="00F06CED"/>
    <w:rsid w:val="00F10CFF"/>
    <w:rsid w:val="00F12535"/>
    <w:rsid w:val="00F126BB"/>
    <w:rsid w:val="00F1331C"/>
    <w:rsid w:val="00F158B4"/>
    <w:rsid w:val="00F15C1A"/>
    <w:rsid w:val="00F17D8E"/>
    <w:rsid w:val="00F20CAF"/>
    <w:rsid w:val="00F210FE"/>
    <w:rsid w:val="00F222E8"/>
    <w:rsid w:val="00F23FC1"/>
    <w:rsid w:val="00F25C42"/>
    <w:rsid w:val="00F331B4"/>
    <w:rsid w:val="00F374EF"/>
    <w:rsid w:val="00F4393F"/>
    <w:rsid w:val="00F4404D"/>
    <w:rsid w:val="00F45C44"/>
    <w:rsid w:val="00F473E2"/>
    <w:rsid w:val="00F47A20"/>
    <w:rsid w:val="00F5060F"/>
    <w:rsid w:val="00F5238C"/>
    <w:rsid w:val="00F538AC"/>
    <w:rsid w:val="00F548E0"/>
    <w:rsid w:val="00F555A8"/>
    <w:rsid w:val="00F572E4"/>
    <w:rsid w:val="00F63A09"/>
    <w:rsid w:val="00F6435D"/>
    <w:rsid w:val="00F6695A"/>
    <w:rsid w:val="00F70000"/>
    <w:rsid w:val="00F7126D"/>
    <w:rsid w:val="00F802DE"/>
    <w:rsid w:val="00F80FB9"/>
    <w:rsid w:val="00F81941"/>
    <w:rsid w:val="00F84629"/>
    <w:rsid w:val="00F84BF2"/>
    <w:rsid w:val="00F87345"/>
    <w:rsid w:val="00F87D88"/>
    <w:rsid w:val="00F91340"/>
    <w:rsid w:val="00F91EEA"/>
    <w:rsid w:val="00F9560A"/>
    <w:rsid w:val="00F9604F"/>
    <w:rsid w:val="00FA0B4E"/>
    <w:rsid w:val="00FA1A2B"/>
    <w:rsid w:val="00FA1F51"/>
    <w:rsid w:val="00FA252D"/>
    <w:rsid w:val="00FA25CA"/>
    <w:rsid w:val="00FA2F8D"/>
    <w:rsid w:val="00FA2FC6"/>
    <w:rsid w:val="00FA3A42"/>
    <w:rsid w:val="00FA4DDE"/>
    <w:rsid w:val="00FB188A"/>
    <w:rsid w:val="00FB212A"/>
    <w:rsid w:val="00FB574C"/>
    <w:rsid w:val="00FC0BCF"/>
    <w:rsid w:val="00FC2249"/>
    <w:rsid w:val="00FC3C99"/>
    <w:rsid w:val="00FC4689"/>
    <w:rsid w:val="00FC47D7"/>
    <w:rsid w:val="00FC4E6D"/>
    <w:rsid w:val="00FD0239"/>
    <w:rsid w:val="00FD3AF0"/>
    <w:rsid w:val="00FD4420"/>
    <w:rsid w:val="00FD50D1"/>
    <w:rsid w:val="00FD51A3"/>
    <w:rsid w:val="00FD6708"/>
    <w:rsid w:val="00FD7434"/>
    <w:rsid w:val="00FE38EC"/>
    <w:rsid w:val="00FE41CD"/>
    <w:rsid w:val="00FE472B"/>
    <w:rsid w:val="00FE6218"/>
    <w:rsid w:val="00FF5143"/>
    <w:rsid w:val="00FF567B"/>
    <w:rsid w:val="00FF5879"/>
    <w:rsid w:val="00FF6825"/>
    <w:rsid w:val="00FF69C3"/>
    <w:rsid w:val="00FF71C1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F46454-DC18-42B7-86A3-3448E4F9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6708"/>
    <w:rPr>
      <w:sz w:val="24"/>
      <w:szCs w:val="24"/>
      <w:lang w:val="ro-RO"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rsid w:val="00FD6708"/>
    <w:pPr>
      <w:keepNext/>
      <w:jc w:val="center"/>
      <w:outlineLvl w:val="2"/>
    </w:pPr>
    <w:rPr>
      <w:b/>
      <w:bCs/>
      <w:sz w:val="26"/>
    </w:rPr>
  </w:style>
  <w:style w:type="paragraph" w:styleId="Titlu4">
    <w:name w:val="heading 4"/>
    <w:basedOn w:val="Normal"/>
    <w:next w:val="Normal"/>
    <w:link w:val="Titlu4Caracter"/>
    <w:uiPriority w:val="99"/>
    <w:qFormat/>
    <w:rsid w:val="00FD6708"/>
    <w:pPr>
      <w:keepNext/>
      <w:outlineLvl w:val="3"/>
    </w:pPr>
    <w:rPr>
      <w:b/>
      <w:bCs/>
      <w:sz w:val="20"/>
      <w:lang w:val="fr-FR"/>
    </w:rPr>
  </w:style>
  <w:style w:type="paragraph" w:styleId="Titlu5">
    <w:name w:val="heading 5"/>
    <w:basedOn w:val="Normal"/>
    <w:next w:val="Normal"/>
    <w:link w:val="Titlu5Caracter"/>
    <w:uiPriority w:val="99"/>
    <w:qFormat/>
    <w:rsid w:val="00FD6708"/>
    <w:pPr>
      <w:keepNext/>
      <w:outlineLvl w:val="4"/>
    </w:pPr>
    <w:rPr>
      <w:b/>
      <w:bCs/>
      <w:sz w:val="22"/>
      <w:lang w:val="fr-FR"/>
    </w:rPr>
  </w:style>
  <w:style w:type="paragraph" w:styleId="Titlu6">
    <w:name w:val="heading 6"/>
    <w:basedOn w:val="Normal"/>
    <w:next w:val="Normal"/>
    <w:link w:val="Titlu6Caracter"/>
    <w:uiPriority w:val="99"/>
    <w:qFormat/>
    <w:rsid w:val="00FD6708"/>
    <w:pPr>
      <w:keepNext/>
      <w:ind w:left="705"/>
      <w:jc w:val="both"/>
      <w:outlineLvl w:val="5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9"/>
    <w:semiHidden/>
    <w:locked/>
    <w:rsid w:val="007A44A9"/>
    <w:rPr>
      <w:rFonts w:ascii="Cambria" w:hAnsi="Cambria" w:cs="Times New Roman"/>
      <w:b/>
      <w:bCs/>
      <w:sz w:val="26"/>
      <w:szCs w:val="26"/>
      <w:lang w:val="ro-RO" w:eastAsia="ro-RO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7A44A9"/>
    <w:rPr>
      <w:rFonts w:ascii="Calibri" w:hAnsi="Calibri" w:cs="Times New Roman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7A44A9"/>
    <w:rPr>
      <w:rFonts w:ascii="Calibri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Titlu6Caracter">
    <w:name w:val="Titlu 6 Caracter"/>
    <w:basedOn w:val="Fontdeparagrafimplicit"/>
    <w:link w:val="Titlu6"/>
    <w:uiPriority w:val="99"/>
    <w:semiHidden/>
    <w:locked/>
    <w:rsid w:val="007A44A9"/>
    <w:rPr>
      <w:rFonts w:ascii="Calibri" w:hAnsi="Calibri" w:cs="Times New Roman"/>
      <w:b/>
      <w:bCs/>
      <w:lang w:val="ro-RO" w:eastAsia="ro-RO"/>
    </w:rPr>
  </w:style>
  <w:style w:type="paragraph" w:styleId="Corptext3">
    <w:name w:val="Body Text 3"/>
    <w:basedOn w:val="Normal"/>
    <w:link w:val="Corptext3Caracter"/>
    <w:uiPriority w:val="99"/>
    <w:rsid w:val="00FD6708"/>
    <w:pPr>
      <w:jc w:val="both"/>
    </w:pPr>
    <w:rPr>
      <w:sz w:val="28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locked/>
    <w:rsid w:val="007A44A9"/>
    <w:rPr>
      <w:rFonts w:cs="Times New Roman"/>
      <w:sz w:val="16"/>
      <w:szCs w:val="16"/>
      <w:lang w:val="ro-RO" w:eastAsia="ro-RO"/>
    </w:rPr>
  </w:style>
  <w:style w:type="paragraph" w:styleId="Antet">
    <w:name w:val="header"/>
    <w:basedOn w:val="Normal"/>
    <w:link w:val="AntetCaracter"/>
    <w:uiPriority w:val="99"/>
    <w:rsid w:val="00FD6708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FD6708"/>
    <w:rPr>
      <w:rFonts w:cs="Times New Roman"/>
      <w:sz w:val="24"/>
      <w:lang w:val="ro-RO" w:eastAsia="ro-RO"/>
    </w:rPr>
  </w:style>
  <w:style w:type="table" w:styleId="Tabelgril">
    <w:name w:val="Table Grid"/>
    <w:basedOn w:val="TabelNormal"/>
    <w:uiPriority w:val="99"/>
    <w:rsid w:val="00FD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text1">
    <w:name w:val="articol_text1"/>
    <w:basedOn w:val="Fontdeparagrafimplicit"/>
    <w:uiPriority w:val="99"/>
    <w:rsid w:val="00FD6708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5228B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7A44A9"/>
    <w:rPr>
      <w:rFonts w:cs="Times New Roman"/>
      <w:sz w:val="2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5E429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7A44A9"/>
    <w:rPr>
      <w:rFonts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61765"/>
    <w:pPr>
      <w:spacing w:line="276" w:lineRule="auto"/>
      <w:ind w:left="720"/>
      <w:contextualSpacing/>
    </w:pPr>
    <w:rPr>
      <w:szCs w:val="22"/>
      <w:lang w:eastAsia="en-US"/>
    </w:rPr>
  </w:style>
  <w:style w:type="character" w:styleId="Robust">
    <w:name w:val="Strong"/>
    <w:basedOn w:val="Fontdeparagrafimplicit"/>
    <w:uiPriority w:val="99"/>
    <w:qFormat/>
    <w:rsid w:val="00A61765"/>
    <w:rPr>
      <w:rFonts w:cs="Times New Roman"/>
      <w:b/>
    </w:rPr>
  </w:style>
  <w:style w:type="character" w:styleId="Accentuat">
    <w:name w:val="Emphasis"/>
    <w:basedOn w:val="Fontdeparagrafimplicit"/>
    <w:uiPriority w:val="20"/>
    <w:qFormat/>
    <w:rsid w:val="009A049C"/>
    <w:rPr>
      <w:rFonts w:cs="Times New Roman"/>
      <w:i/>
    </w:rPr>
  </w:style>
  <w:style w:type="paragraph" w:customStyle="1" w:styleId="CharChar1Char">
    <w:name w:val="Char Char1 Char"/>
    <w:basedOn w:val="Normal"/>
    <w:uiPriority w:val="99"/>
    <w:rsid w:val="00DF6B75"/>
    <w:rPr>
      <w:lang w:val="pl-PL" w:eastAsia="pl-PL"/>
    </w:rPr>
  </w:style>
  <w:style w:type="character" w:styleId="Hyperlink">
    <w:name w:val="Hyperlink"/>
    <w:basedOn w:val="Fontdeparagrafimplicit"/>
    <w:uiPriority w:val="99"/>
    <w:rsid w:val="00345763"/>
    <w:rPr>
      <w:rFonts w:cs="Times New Roman"/>
      <w:color w:val="0000FF"/>
      <w:u w:val="single"/>
    </w:rPr>
  </w:style>
  <w:style w:type="paragraph" w:customStyle="1" w:styleId="CaracterCaracter1">
    <w:name w:val="Caracter Caracter1"/>
    <w:basedOn w:val="Normal"/>
    <w:uiPriority w:val="99"/>
    <w:rsid w:val="00D847EC"/>
    <w:rPr>
      <w:lang w:val="pl-PL" w:eastAsia="pl-PL"/>
    </w:rPr>
  </w:style>
  <w:style w:type="paragraph" w:styleId="NormalWeb">
    <w:name w:val="Normal (Web)"/>
    <w:basedOn w:val="Normal"/>
    <w:uiPriority w:val="99"/>
    <w:rsid w:val="0045212F"/>
    <w:pPr>
      <w:spacing w:before="100" w:beforeAutospacing="1" w:after="100" w:afterAutospacing="1"/>
    </w:pPr>
    <w:rPr>
      <w:lang w:val="en-US" w:eastAsia="en-US"/>
    </w:rPr>
  </w:style>
  <w:style w:type="paragraph" w:styleId="Frspaiere">
    <w:name w:val="No Spacing"/>
    <w:link w:val="FrspaiereCaracter"/>
    <w:uiPriority w:val="1"/>
    <w:qFormat/>
    <w:rsid w:val="00FD4420"/>
    <w:rPr>
      <w:rFonts w:ascii="Calibri" w:hAnsi="Calibri"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FD4420"/>
    <w:rPr>
      <w:rFonts w:ascii="Calibri" w:hAnsi="Calibri"/>
      <w:sz w:val="22"/>
      <w:szCs w:val="22"/>
      <w:lang w:val="en-US" w:eastAsia="en-US" w:bidi="ar-SA"/>
    </w:rPr>
  </w:style>
  <w:style w:type="paragraph" w:styleId="Indentcorptext">
    <w:name w:val="Body Text Indent"/>
    <w:basedOn w:val="Normal"/>
    <w:link w:val="IndentcorptextCaracter"/>
    <w:uiPriority w:val="99"/>
    <w:rsid w:val="00EB4A6C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locked/>
    <w:rsid w:val="007A44A9"/>
    <w:rPr>
      <w:rFonts w:cs="Times New Roman"/>
      <w:sz w:val="24"/>
      <w:szCs w:val="24"/>
      <w:lang w:val="ro-RO" w:eastAsia="ro-RO"/>
    </w:rPr>
  </w:style>
  <w:style w:type="paragraph" w:customStyle="1" w:styleId="BodyText21">
    <w:name w:val="Body Text 21"/>
    <w:basedOn w:val="Normal"/>
    <w:uiPriority w:val="99"/>
    <w:rsid w:val="00A662E3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31A4C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Fontdeparagrafimplicit"/>
    <w:semiHidden/>
    <w:rsid w:val="00631A4C"/>
    <w:rPr>
      <w:lang w:val="ro-RO" w:eastAsia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631A4C"/>
    <w:rPr>
      <w:vertAlign w:val="superscript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631A4C"/>
    <w:rPr>
      <w:rFonts w:asciiTheme="minorHAnsi" w:eastAsiaTheme="minorEastAsia" w:hAnsiTheme="minorHAnsi" w:cstheme="minorBidi"/>
      <w:lang w:val="ro-RO" w:eastAsia="ro-RO"/>
    </w:rPr>
  </w:style>
  <w:style w:type="character" w:customStyle="1" w:styleId="apple-converted-space">
    <w:name w:val="apple-converted-space"/>
    <w:rsid w:val="00631A4C"/>
  </w:style>
  <w:style w:type="character" w:customStyle="1" w:styleId="panchor">
    <w:name w:val="panchor"/>
    <w:rsid w:val="004A61AD"/>
  </w:style>
  <w:style w:type="paragraph" w:styleId="PreformatatHTML">
    <w:name w:val="HTML Preformatted"/>
    <w:basedOn w:val="Normal"/>
    <w:link w:val="PreformatatHTMLCaracter"/>
    <w:uiPriority w:val="99"/>
    <w:unhideWhenUsed/>
    <w:rsid w:val="00413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41321F"/>
    <w:rPr>
      <w:rFonts w:ascii="Courier New" w:eastAsiaTheme="minorHAnsi" w:hAnsi="Courier New" w:cs="Courier New"/>
      <w:color w:val="000000"/>
    </w:rPr>
  </w:style>
  <w:style w:type="paragraph" w:styleId="Subsol">
    <w:name w:val="footer"/>
    <w:basedOn w:val="Normal"/>
    <w:link w:val="SubsolCaracter"/>
    <w:uiPriority w:val="99"/>
    <w:semiHidden/>
    <w:unhideWhenUsed/>
    <w:rsid w:val="005E303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5E303C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770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7700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4" w:color="9CBD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768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7684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4" w:color="9CBD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456B-AB20-47C9-BFA4-A0236C69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emilpascut@gmail.com</cp:lastModifiedBy>
  <cp:revision>2</cp:revision>
  <cp:lastPrinted>2017-01-11T09:49:00Z</cp:lastPrinted>
  <dcterms:created xsi:type="dcterms:W3CDTF">2019-09-18T12:44:00Z</dcterms:created>
  <dcterms:modified xsi:type="dcterms:W3CDTF">2019-09-18T12:44:00Z</dcterms:modified>
</cp:coreProperties>
</file>